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61" w:rsidRPr="001102E8" w:rsidRDefault="009E4B61" w:rsidP="00743ED6">
      <w:pPr>
        <w:bidi w:val="0"/>
        <w:spacing w:line="360" w:lineRule="auto"/>
        <w:jc w:val="center"/>
        <w:rPr>
          <w:rFonts w:asciiTheme="majorBidi" w:hAnsiTheme="majorBidi" w:cstheme="majorBidi"/>
          <w:b/>
          <w:bCs/>
          <w:sz w:val="28"/>
          <w:szCs w:val="28"/>
        </w:rPr>
      </w:pPr>
      <w:r w:rsidRPr="001102E8">
        <w:rPr>
          <w:rFonts w:asciiTheme="majorBidi" w:hAnsiTheme="majorBidi" w:cstheme="majorBidi"/>
          <w:b/>
          <w:bCs/>
          <w:sz w:val="28"/>
          <w:szCs w:val="28"/>
        </w:rPr>
        <w:t>Research# 1-2021</w:t>
      </w:r>
    </w:p>
    <w:p w:rsidR="001102E8" w:rsidRDefault="009E4B61" w:rsidP="00743ED6">
      <w:pPr>
        <w:bidi w:val="0"/>
        <w:spacing w:line="360" w:lineRule="auto"/>
        <w:rPr>
          <w:rFonts w:asciiTheme="majorBidi" w:hAnsiTheme="majorBidi" w:cstheme="majorBidi"/>
          <w:sz w:val="24"/>
          <w:szCs w:val="24"/>
        </w:rPr>
      </w:pPr>
      <w:r w:rsidRPr="001102E8">
        <w:rPr>
          <w:rFonts w:asciiTheme="majorBidi" w:hAnsiTheme="majorBidi" w:cstheme="majorBidi"/>
          <w:b/>
          <w:bCs/>
          <w:sz w:val="24"/>
          <w:szCs w:val="24"/>
        </w:rPr>
        <w:t xml:space="preserve">Journal of Materials Science: Materials in Medicine (2021) 32:113 </w:t>
      </w:r>
      <w:r w:rsidRPr="00743ED6">
        <w:rPr>
          <w:rFonts w:asciiTheme="majorBidi" w:hAnsiTheme="majorBidi" w:cstheme="majorBidi"/>
          <w:sz w:val="24"/>
          <w:szCs w:val="24"/>
        </w:rPr>
        <w:t xml:space="preserve">https://doi.org/10.1007/s10856-021-06585-9 </w:t>
      </w:r>
    </w:p>
    <w:p w:rsidR="001102E8" w:rsidRDefault="009E4B61" w:rsidP="001102E8">
      <w:pPr>
        <w:bidi w:val="0"/>
        <w:spacing w:line="360" w:lineRule="auto"/>
        <w:rPr>
          <w:rFonts w:asciiTheme="majorBidi" w:hAnsiTheme="majorBidi" w:cstheme="majorBidi"/>
          <w:sz w:val="24"/>
          <w:szCs w:val="24"/>
        </w:rPr>
      </w:pPr>
      <w:r w:rsidRPr="001102E8">
        <w:rPr>
          <w:rFonts w:asciiTheme="majorBidi" w:hAnsiTheme="majorBidi" w:cstheme="majorBidi"/>
          <w:sz w:val="24"/>
          <w:szCs w:val="24"/>
        </w:rPr>
        <w:t xml:space="preserve"> </w:t>
      </w:r>
      <w:r w:rsidRPr="001102E8">
        <w:rPr>
          <w:rFonts w:asciiTheme="majorBidi" w:hAnsiTheme="majorBidi" w:cstheme="majorBidi"/>
          <w:b/>
          <w:bCs/>
          <w:sz w:val="28"/>
          <w:szCs w:val="28"/>
        </w:rPr>
        <w:t xml:space="preserve">Assessment of novel surgical procedures using </w:t>
      </w:r>
      <w:proofErr w:type="spellStart"/>
      <w:r w:rsidRPr="001102E8">
        <w:rPr>
          <w:rFonts w:asciiTheme="majorBidi" w:hAnsiTheme="majorBidi" w:cstheme="majorBidi"/>
          <w:b/>
          <w:bCs/>
          <w:sz w:val="28"/>
          <w:szCs w:val="28"/>
        </w:rPr>
        <w:t>decellularised</w:t>
      </w:r>
      <w:proofErr w:type="spellEnd"/>
      <w:r w:rsidRPr="001102E8">
        <w:rPr>
          <w:rFonts w:asciiTheme="majorBidi" w:hAnsiTheme="majorBidi" w:cstheme="majorBidi"/>
          <w:b/>
          <w:bCs/>
          <w:sz w:val="28"/>
          <w:szCs w:val="28"/>
        </w:rPr>
        <w:t xml:space="preserve"> muscle and bioactive ceramic: a histological analysis</w:t>
      </w:r>
      <w:r w:rsidR="001102E8">
        <w:rPr>
          <w:rFonts w:asciiTheme="majorBidi" w:hAnsiTheme="majorBidi" w:cstheme="majorBidi"/>
          <w:sz w:val="24"/>
          <w:szCs w:val="24"/>
        </w:rPr>
        <w:t>:</w:t>
      </w:r>
    </w:p>
    <w:p w:rsidR="001102E8" w:rsidRDefault="001102E8" w:rsidP="001102E8">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Randa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Alfotawi</w:t>
      </w:r>
      <w:proofErr w:type="spellEnd"/>
      <w:r>
        <w:rPr>
          <w:rFonts w:asciiTheme="majorBidi" w:hAnsiTheme="majorBidi" w:cstheme="majorBidi"/>
          <w:sz w:val="24"/>
          <w:szCs w:val="24"/>
        </w:rPr>
        <w:t xml:space="preserve">, </w:t>
      </w:r>
      <w:proofErr w:type="spellStart"/>
      <w:r w:rsidRPr="001102E8">
        <w:rPr>
          <w:rFonts w:asciiTheme="majorBidi" w:hAnsiTheme="majorBidi" w:cstheme="majorBidi"/>
          <w:b/>
          <w:bCs/>
          <w:sz w:val="24"/>
          <w:szCs w:val="24"/>
        </w:rPr>
        <w:t>Raeesa</w:t>
      </w:r>
      <w:proofErr w:type="spellEnd"/>
      <w:r w:rsidRPr="001102E8">
        <w:rPr>
          <w:rFonts w:asciiTheme="majorBidi" w:hAnsiTheme="majorBidi" w:cstheme="majorBidi"/>
          <w:b/>
          <w:bCs/>
          <w:sz w:val="24"/>
          <w:szCs w:val="24"/>
        </w:rPr>
        <w:t xml:space="preserve"> Ahmed,</w:t>
      </w:r>
      <w:r>
        <w:rPr>
          <w:rFonts w:asciiTheme="majorBidi" w:hAnsiTheme="majorBidi" w:cstheme="majorBidi"/>
          <w:sz w:val="24"/>
          <w:szCs w:val="24"/>
        </w:rPr>
        <w:t xml:space="preserve"> Muhammad </w:t>
      </w:r>
      <w:proofErr w:type="spellStart"/>
      <w:r>
        <w:rPr>
          <w:rFonts w:asciiTheme="majorBidi" w:hAnsiTheme="majorBidi" w:cstheme="majorBidi"/>
          <w:sz w:val="24"/>
          <w:szCs w:val="24"/>
        </w:rPr>
        <w:t>Atteya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Amer</w:t>
      </w:r>
      <w:proofErr w:type="spellEnd"/>
      <w:r>
        <w:rPr>
          <w:rFonts w:asciiTheme="majorBidi" w:hAnsiTheme="majorBidi" w:cstheme="majorBidi"/>
          <w:sz w:val="24"/>
          <w:szCs w:val="24"/>
        </w:rPr>
        <w:t xml:space="preserve"> Mahmood, </w:t>
      </w:r>
      <w:proofErr w:type="spellStart"/>
      <w:r>
        <w:rPr>
          <w:rFonts w:asciiTheme="majorBidi" w:hAnsiTheme="majorBidi" w:cstheme="majorBidi"/>
          <w:sz w:val="24"/>
          <w:szCs w:val="24"/>
        </w:rPr>
        <w:t>Abdulazize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Siyal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Marium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AlHindi</w:t>
      </w:r>
      <w:proofErr w:type="spellEnd"/>
      <w:r>
        <w:rPr>
          <w:rFonts w:asciiTheme="majorBidi" w:hAnsiTheme="majorBidi" w:cstheme="majorBidi"/>
          <w:sz w:val="24"/>
          <w:szCs w:val="24"/>
        </w:rPr>
        <w:t>, Ahmad El-</w:t>
      </w:r>
      <w:proofErr w:type="spellStart"/>
      <w:r>
        <w:rPr>
          <w:rFonts w:asciiTheme="majorBidi" w:hAnsiTheme="majorBidi" w:cstheme="majorBidi"/>
          <w:sz w:val="24"/>
          <w:szCs w:val="24"/>
        </w:rPr>
        <w:t>Ghannam</w:t>
      </w:r>
      <w:proofErr w:type="spellEnd"/>
      <w:r>
        <w:rPr>
          <w:rFonts w:asciiTheme="majorBidi" w:hAnsiTheme="majorBidi" w:cstheme="majorBidi"/>
          <w:sz w:val="24"/>
          <w:szCs w:val="24"/>
        </w:rPr>
        <w:t>,</w:t>
      </w:r>
    </w:p>
    <w:p w:rsidR="001102E8" w:rsidRDefault="001102E8" w:rsidP="001102E8">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9E4B61" w:rsidRPr="001102E8">
        <w:rPr>
          <w:rFonts w:asciiTheme="majorBidi" w:hAnsiTheme="majorBidi" w:cstheme="majorBidi"/>
          <w:sz w:val="24"/>
          <w:szCs w:val="24"/>
        </w:rPr>
        <w:t xml:space="preserve"> Received: 11 November 2020 / Accepted: 21 June 2021 / Published online: 28 August 2021 © The Author(s) 2021 </w:t>
      </w:r>
    </w:p>
    <w:p w:rsidR="00A16AE8" w:rsidRDefault="009E4B61" w:rsidP="001102E8">
      <w:pPr>
        <w:bidi w:val="0"/>
        <w:spacing w:line="360" w:lineRule="auto"/>
        <w:rPr>
          <w:rFonts w:asciiTheme="majorBidi" w:hAnsiTheme="majorBidi" w:cstheme="majorBidi"/>
          <w:sz w:val="24"/>
          <w:szCs w:val="24"/>
        </w:rPr>
      </w:pPr>
      <w:r w:rsidRPr="00A16AE8">
        <w:rPr>
          <w:rFonts w:asciiTheme="majorBidi" w:hAnsiTheme="majorBidi" w:cstheme="majorBidi"/>
          <w:b/>
          <w:bCs/>
          <w:sz w:val="28"/>
          <w:szCs w:val="28"/>
        </w:rPr>
        <w:t>Abstract</w:t>
      </w:r>
      <w:r w:rsidRPr="001102E8">
        <w:rPr>
          <w:rFonts w:asciiTheme="majorBidi" w:hAnsiTheme="majorBidi" w:cstheme="majorBidi"/>
          <w:sz w:val="24"/>
          <w:szCs w:val="24"/>
        </w:rPr>
        <w:t xml:space="preserve"> </w:t>
      </w:r>
    </w:p>
    <w:p w:rsidR="004A7E16" w:rsidRPr="001102E8" w:rsidRDefault="009E4B61" w:rsidP="00743ED6">
      <w:pPr>
        <w:bidi w:val="0"/>
        <w:spacing w:line="360" w:lineRule="auto"/>
        <w:jc w:val="both"/>
        <w:rPr>
          <w:rFonts w:asciiTheme="majorBidi" w:hAnsiTheme="majorBidi" w:cstheme="majorBidi"/>
          <w:sz w:val="24"/>
          <w:szCs w:val="24"/>
        </w:rPr>
      </w:pPr>
      <w:r w:rsidRPr="001102E8">
        <w:rPr>
          <w:rFonts w:asciiTheme="majorBidi" w:hAnsiTheme="majorBidi" w:cstheme="majorBidi"/>
          <w:sz w:val="24"/>
          <w:szCs w:val="24"/>
        </w:rPr>
        <w:t xml:space="preserve">Tissue regeneration and </w:t>
      </w:r>
      <w:proofErr w:type="spellStart"/>
      <w:r w:rsidRPr="001102E8">
        <w:rPr>
          <w:rFonts w:asciiTheme="majorBidi" w:hAnsiTheme="majorBidi" w:cstheme="majorBidi"/>
          <w:sz w:val="24"/>
          <w:szCs w:val="24"/>
        </w:rPr>
        <w:t>neovascularisation</w:t>
      </w:r>
      <w:proofErr w:type="spellEnd"/>
      <w:r w:rsidRPr="001102E8">
        <w:rPr>
          <w:rFonts w:asciiTheme="majorBidi" w:hAnsiTheme="majorBidi" w:cstheme="majorBidi"/>
          <w:sz w:val="24"/>
          <w:szCs w:val="24"/>
        </w:rPr>
        <w:t xml:space="preserve"> in cases of major bone loss is a challenge in maxillofacial surgery. The hypothesis of the present study is that the addition of </w:t>
      </w:r>
      <w:proofErr w:type="spellStart"/>
      <w:r w:rsidRPr="001102E8">
        <w:rPr>
          <w:rFonts w:asciiTheme="majorBidi" w:hAnsiTheme="majorBidi" w:cstheme="majorBidi"/>
          <w:sz w:val="24"/>
          <w:szCs w:val="24"/>
        </w:rPr>
        <w:t>resorbable</w:t>
      </w:r>
      <w:proofErr w:type="spellEnd"/>
      <w:r w:rsidRPr="001102E8">
        <w:rPr>
          <w:rFonts w:asciiTheme="majorBidi" w:hAnsiTheme="majorBidi" w:cstheme="majorBidi"/>
          <w:sz w:val="24"/>
          <w:szCs w:val="24"/>
        </w:rPr>
        <w:t xml:space="preserve"> bioactive ceramic Silica Calcium Phosphate Cement (SCPC) to </w:t>
      </w:r>
      <w:proofErr w:type="spellStart"/>
      <w:r w:rsidRPr="001102E8">
        <w:rPr>
          <w:rFonts w:asciiTheme="majorBidi" w:hAnsiTheme="majorBidi" w:cstheme="majorBidi"/>
          <w:sz w:val="24"/>
          <w:szCs w:val="24"/>
        </w:rPr>
        <w:t>Declluraized</w:t>
      </w:r>
      <w:proofErr w:type="spellEnd"/>
      <w:r w:rsidRPr="001102E8">
        <w:rPr>
          <w:rFonts w:asciiTheme="majorBidi" w:hAnsiTheme="majorBidi" w:cstheme="majorBidi"/>
          <w:sz w:val="24"/>
          <w:szCs w:val="24"/>
        </w:rPr>
        <w:t xml:space="preserve"> Muscle Scaffold (DSM) can expedite bone formation and maturation. Two surgical defect models were created in 18 nude transgenic mice. Group 1(n = 6), with a 2-mm decortication </w:t>
      </w:r>
      <w:proofErr w:type="spellStart"/>
      <w:r w:rsidRPr="001102E8">
        <w:rPr>
          <w:rFonts w:asciiTheme="majorBidi" w:hAnsiTheme="majorBidi" w:cstheme="majorBidi"/>
          <w:sz w:val="24"/>
          <w:szCs w:val="24"/>
        </w:rPr>
        <w:t>calvarial</w:t>
      </w:r>
      <w:proofErr w:type="spellEnd"/>
      <w:r w:rsidRPr="001102E8">
        <w:rPr>
          <w:rFonts w:asciiTheme="majorBidi" w:hAnsiTheme="majorBidi" w:cstheme="majorBidi"/>
          <w:sz w:val="24"/>
          <w:szCs w:val="24"/>
        </w:rPr>
        <w:t xml:space="preserve"> defect, was treated with a DSM/SCPC sheet over the corticated bone as an </w:t>
      </w:r>
      <w:proofErr w:type="spellStart"/>
      <w:r w:rsidRPr="001102E8">
        <w:rPr>
          <w:rFonts w:asciiTheme="majorBidi" w:hAnsiTheme="majorBidi" w:cstheme="majorBidi"/>
          <w:sz w:val="24"/>
          <w:szCs w:val="24"/>
        </w:rPr>
        <w:t>onlay</w:t>
      </w:r>
      <w:proofErr w:type="spellEnd"/>
      <w:r w:rsidRPr="001102E8">
        <w:rPr>
          <w:rFonts w:asciiTheme="majorBidi" w:hAnsiTheme="majorBidi" w:cstheme="majorBidi"/>
          <w:sz w:val="24"/>
          <w:szCs w:val="24"/>
        </w:rPr>
        <w:t xml:space="preserve"> then seeded with human Mesenchymal Stromal Cells </w:t>
      </w:r>
      <w:proofErr w:type="spellStart"/>
      <w:r w:rsidRPr="001102E8">
        <w:rPr>
          <w:rFonts w:asciiTheme="majorBidi" w:hAnsiTheme="majorBidi" w:cstheme="majorBidi"/>
          <w:sz w:val="24"/>
          <w:szCs w:val="24"/>
        </w:rPr>
        <w:t>hMSC</w:t>
      </w:r>
      <w:proofErr w:type="spellEnd"/>
      <w:r w:rsidRPr="001102E8">
        <w:rPr>
          <w:rFonts w:asciiTheme="majorBidi" w:hAnsiTheme="majorBidi" w:cstheme="majorBidi"/>
          <w:sz w:val="24"/>
          <w:szCs w:val="24"/>
        </w:rPr>
        <w:t xml:space="preserve"> in situ. In Group 2 (n = 6), a critical size (4 mm) </w:t>
      </w:r>
      <w:proofErr w:type="spellStart"/>
      <w:r w:rsidRPr="001102E8">
        <w:rPr>
          <w:rFonts w:asciiTheme="majorBidi" w:hAnsiTheme="majorBidi" w:cstheme="majorBidi"/>
          <w:sz w:val="24"/>
          <w:szCs w:val="24"/>
        </w:rPr>
        <w:t>calvarial</w:t>
      </w:r>
      <w:proofErr w:type="spellEnd"/>
      <w:r w:rsidRPr="001102E8">
        <w:rPr>
          <w:rFonts w:asciiTheme="majorBidi" w:hAnsiTheme="majorBidi" w:cstheme="majorBidi"/>
          <w:sz w:val="24"/>
          <w:szCs w:val="24"/>
        </w:rPr>
        <w:t xml:space="preserve"> defect was made and grafted with DSM/SCPC/in situ human bone marrow stromal cells (</w:t>
      </w:r>
      <w:proofErr w:type="spellStart"/>
      <w:r w:rsidRPr="001102E8">
        <w:rPr>
          <w:rFonts w:asciiTheme="majorBidi" w:hAnsiTheme="majorBidi" w:cstheme="majorBidi"/>
          <w:sz w:val="24"/>
          <w:szCs w:val="24"/>
        </w:rPr>
        <w:t>hMSCs</w:t>
      </w:r>
      <w:proofErr w:type="spellEnd"/>
      <w:r w:rsidRPr="001102E8">
        <w:rPr>
          <w:rFonts w:asciiTheme="majorBidi" w:hAnsiTheme="majorBidi" w:cstheme="majorBidi"/>
          <w:sz w:val="24"/>
          <w:szCs w:val="24"/>
        </w:rPr>
        <w:t xml:space="preserve">). The control groups included Group 3 (n = 3) animals, with a 2-mm decortication defect treated with an </w:t>
      </w:r>
      <w:proofErr w:type="spellStart"/>
      <w:r w:rsidRPr="001102E8">
        <w:rPr>
          <w:rFonts w:asciiTheme="majorBidi" w:hAnsiTheme="majorBidi" w:cstheme="majorBidi"/>
          <w:sz w:val="24"/>
          <w:szCs w:val="24"/>
        </w:rPr>
        <w:t>onlay</w:t>
      </w:r>
      <w:proofErr w:type="spellEnd"/>
      <w:r w:rsidRPr="001102E8">
        <w:rPr>
          <w:rFonts w:asciiTheme="majorBidi" w:hAnsiTheme="majorBidi" w:cstheme="majorBidi"/>
          <w:sz w:val="24"/>
          <w:szCs w:val="24"/>
        </w:rPr>
        <w:t xml:space="preserve"> DSM sheet, and Group 4 (n = 3) animals, treated with critical size defect grafted with plain DSM. After 8 weeks, bone regeneration in various groups was evaluated using histology, immunohistochemistry and </w:t>
      </w:r>
      <w:proofErr w:type="spellStart"/>
      <w:r w:rsidRPr="001102E8">
        <w:rPr>
          <w:rFonts w:asciiTheme="majorBidi" w:hAnsiTheme="majorBidi" w:cstheme="majorBidi"/>
          <w:sz w:val="24"/>
          <w:szCs w:val="24"/>
        </w:rPr>
        <w:t>histomorphometry</w:t>
      </w:r>
      <w:proofErr w:type="spellEnd"/>
      <w:r w:rsidRPr="001102E8">
        <w:rPr>
          <w:rFonts w:asciiTheme="majorBidi" w:hAnsiTheme="majorBidi" w:cstheme="majorBidi"/>
          <w:sz w:val="24"/>
          <w:szCs w:val="24"/>
        </w:rPr>
        <w:t>. New bone formation and maturation was superior in groups treated with DSM/SCPC/</w:t>
      </w:r>
      <w:proofErr w:type="spellStart"/>
      <w:r w:rsidRPr="001102E8">
        <w:rPr>
          <w:rFonts w:asciiTheme="majorBidi" w:hAnsiTheme="majorBidi" w:cstheme="majorBidi"/>
          <w:sz w:val="24"/>
          <w:szCs w:val="24"/>
        </w:rPr>
        <w:t>hMSC</w:t>
      </w:r>
      <w:proofErr w:type="spellEnd"/>
      <w:r w:rsidRPr="001102E8">
        <w:rPr>
          <w:rFonts w:asciiTheme="majorBidi" w:hAnsiTheme="majorBidi" w:cstheme="majorBidi"/>
          <w:sz w:val="24"/>
          <w:szCs w:val="24"/>
        </w:rPr>
        <w:t xml:space="preserve">. The DMS/ SCPC scaffold has the ability to augment and induce bone regeneration and </w:t>
      </w:r>
      <w:proofErr w:type="spellStart"/>
      <w:r w:rsidRPr="001102E8">
        <w:rPr>
          <w:rFonts w:asciiTheme="majorBidi" w:hAnsiTheme="majorBidi" w:cstheme="majorBidi"/>
          <w:sz w:val="24"/>
          <w:szCs w:val="24"/>
        </w:rPr>
        <w:t>neovascularisation</w:t>
      </w:r>
      <w:proofErr w:type="spellEnd"/>
      <w:r w:rsidRPr="001102E8">
        <w:rPr>
          <w:rFonts w:asciiTheme="majorBidi" w:hAnsiTheme="majorBidi" w:cstheme="majorBidi"/>
          <w:sz w:val="24"/>
          <w:szCs w:val="24"/>
        </w:rPr>
        <w:t xml:space="preserve"> in cases of major bone resorption and critical size defects.</w:t>
      </w: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9E4B61" w:rsidP="001102E8">
      <w:pPr>
        <w:bidi w:val="0"/>
        <w:spacing w:line="360" w:lineRule="auto"/>
        <w:rPr>
          <w:rFonts w:asciiTheme="majorBidi" w:hAnsiTheme="majorBidi" w:cstheme="majorBidi"/>
          <w:sz w:val="24"/>
          <w:szCs w:val="24"/>
        </w:rPr>
      </w:pPr>
    </w:p>
    <w:p w:rsidR="00A16AE8" w:rsidRPr="001102E8" w:rsidRDefault="00A16AE8" w:rsidP="00743ED6">
      <w:pPr>
        <w:bidi w:val="0"/>
        <w:spacing w:line="360" w:lineRule="auto"/>
        <w:jc w:val="center"/>
        <w:rPr>
          <w:rFonts w:asciiTheme="majorBidi" w:hAnsiTheme="majorBidi" w:cstheme="majorBidi"/>
          <w:b/>
          <w:bCs/>
          <w:sz w:val="28"/>
          <w:szCs w:val="28"/>
        </w:rPr>
      </w:pPr>
      <w:bookmarkStart w:id="0" w:name="_GoBack"/>
      <w:r w:rsidRPr="001102E8">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2</w:t>
      </w:r>
      <w:r w:rsidRPr="001102E8">
        <w:rPr>
          <w:rFonts w:asciiTheme="majorBidi" w:hAnsiTheme="majorBidi" w:cstheme="majorBidi"/>
          <w:b/>
          <w:bCs/>
          <w:sz w:val="28"/>
          <w:szCs w:val="28"/>
        </w:rPr>
        <w:t>-202</w:t>
      </w:r>
      <w:r>
        <w:rPr>
          <w:rFonts w:asciiTheme="majorBidi" w:hAnsiTheme="majorBidi" w:cstheme="majorBidi"/>
          <w:b/>
          <w:bCs/>
          <w:sz w:val="28"/>
          <w:szCs w:val="28"/>
        </w:rPr>
        <w:t>0</w:t>
      </w:r>
    </w:p>
    <w:bookmarkEnd w:id="0"/>
    <w:p w:rsidR="009E4B61" w:rsidRPr="00A16AE8" w:rsidRDefault="009E4B61" w:rsidP="001102E8">
      <w:pPr>
        <w:bidi w:val="0"/>
        <w:spacing w:line="360" w:lineRule="auto"/>
        <w:rPr>
          <w:rFonts w:asciiTheme="majorBidi" w:hAnsiTheme="majorBidi" w:cstheme="majorBidi"/>
          <w:b/>
          <w:bCs/>
          <w:sz w:val="24"/>
          <w:szCs w:val="24"/>
        </w:rPr>
      </w:pPr>
      <w:r w:rsidRPr="00A16AE8">
        <w:rPr>
          <w:rFonts w:asciiTheme="majorBidi" w:hAnsiTheme="majorBidi" w:cstheme="majorBidi"/>
          <w:b/>
          <w:bCs/>
          <w:sz w:val="24"/>
          <w:szCs w:val="24"/>
        </w:rPr>
        <w:t>Environmental Science and Pollution Research (2020) 27:25082–25092</w:t>
      </w:r>
      <w:r w:rsidR="00A16AE8" w:rsidRPr="00A16AE8">
        <w:rPr>
          <w:rFonts w:asciiTheme="majorBidi" w:hAnsiTheme="majorBidi" w:cstheme="majorBidi"/>
          <w:b/>
          <w:bCs/>
          <w:sz w:val="24"/>
          <w:szCs w:val="24"/>
        </w:rPr>
        <w:t xml:space="preserve"> https://doi.org/10.1007/s11356-020-08856-4</w:t>
      </w:r>
    </w:p>
    <w:p w:rsidR="00A16AE8" w:rsidRDefault="009E4B61" w:rsidP="001102E8">
      <w:pPr>
        <w:bidi w:val="0"/>
        <w:spacing w:line="360" w:lineRule="auto"/>
        <w:rPr>
          <w:rFonts w:asciiTheme="majorBidi" w:hAnsiTheme="majorBidi" w:cstheme="majorBidi"/>
          <w:sz w:val="24"/>
          <w:szCs w:val="24"/>
        </w:rPr>
      </w:pPr>
      <w:r w:rsidRPr="00A16AE8">
        <w:rPr>
          <w:rFonts w:asciiTheme="majorBidi" w:hAnsiTheme="majorBidi" w:cstheme="majorBidi"/>
          <w:b/>
          <w:bCs/>
          <w:sz w:val="28"/>
          <w:szCs w:val="28"/>
        </w:rPr>
        <w:t>What is the possible therapeutic effect of Ginkgo biloba on gastric ulcer induced by ammonia in albino rats?</w:t>
      </w:r>
      <w:r w:rsidRPr="001102E8">
        <w:rPr>
          <w:rFonts w:asciiTheme="majorBidi" w:hAnsiTheme="majorBidi" w:cstheme="majorBidi"/>
          <w:sz w:val="24"/>
          <w:szCs w:val="24"/>
        </w:rPr>
        <w:t xml:space="preserve"> </w:t>
      </w:r>
    </w:p>
    <w:p w:rsidR="00A16AE8" w:rsidRDefault="00A16AE8" w:rsidP="00A16AE8">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Azza</w:t>
      </w:r>
      <w:proofErr w:type="spellEnd"/>
      <w:r>
        <w:rPr>
          <w:rFonts w:asciiTheme="majorBidi" w:hAnsiTheme="majorBidi" w:cstheme="majorBidi"/>
          <w:sz w:val="24"/>
          <w:szCs w:val="24"/>
        </w:rPr>
        <w:t xml:space="preserve"> El-</w:t>
      </w:r>
      <w:proofErr w:type="spellStart"/>
      <w:r>
        <w:rPr>
          <w:rFonts w:asciiTheme="majorBidi" w:hAnsiTheme="majorBidi" w:cstheme="majorBidi"/>
          <w:sz w:val="24"/>
          <w:szCs w:val="24"/>
        </w:rPr>
        <w:t>Medany</w:t>
      </w:r>
      <w:proofErr w:type="spellEnd"/>
      <w:r>
        <w:rPr>
          <w:rFonts w:asciiTheme="majorBidi" w:hAnsiTheme="majorBidi" w:cstheme="majorBidi"/>
          <w:sz w:val="24"/>
          <w:szCs w:val="24"/>
        </w:rPr>
        <w:t xml:space="preserve">, Aida Ahmed Said </w:t>
      </w:r>
      <w:proofErr w:type="spellStart"/>
      <w:r>
        <w:rPr>
          <w:rFonts w:asciiTheme="majorBidi" w:hAnsiTheme="majorBidi" w:cstheme="majorBidi"/>
          <w:sz w:val="24"/>
          <w:szCs w:val="24"/>
        </w:rPr>
        <w:t>Guemei</w:t>
      </w:r>
      <w:proofErr w:type="spellEnd"/>
      <w:r>
        <w:rPr>
          <w:rFonts w:asciiTheme="majorBidi" w:hAnsiTheme="majorBidi" w:cstheme="majorBidi"/>
          <w:sz w:val="24"/>
          <w:szCs w:val="24"/>
        </w:rPr>
        <w:t>,</w:t>
      </w:r>
      <w:r w:rsidR="009E4B61" w:rsidRPr="001102E8">
        <w:rPr>
          <w:rFonts w:asciiTheme="majorBidi" w:hAnsiTheme="majorBidi" w:cstheme="majorBidi"/>
          <w:sz w:val="24"/>
          <w:szCs w:val="24"/>
        </w:rPr>
        <w:t xml:space="preserve"> </w:t>
      </w:r>
      <w:proofErr w:type="spellStart"/>
      <w:r w:rsidR="009E4B61" w:rsidRPr="00A16AE8">
        <w:rPr>
          <w:rFonts w:asciiTheme="majorBidi" w:hAnsiTheme="majorBidi" w:cstheme="majorBidi"/>
          <w:b/>
          <w:bCs/>
          <w:sz w:val="24"/>
          <w:szCs w:val="24"/>
        </w:rPr>
        <w:t>Raeesa</w:t>
      </w:r>
      <w:proofErr w:type="spellEnd"/>
      <w:r w:rsidR="009E4B61" w:rsidRPr="00A16AE8">
        <w:rPr>
          <w:rFonts w:asciiTheme="majorBidi" w:hAnsiTheme="majorBidi" w:cstheme="majorBidi"/>
          <w:b/>
          <w:bCs/>
          <w:sz w:val="24"/>
          <w:szCs w:val="24"/>
        </w:rPr>
        <w:t xml:space="preserve"> Abdel </w:t>
      </w:r>
      <w:proofErr w:type="spellStart"/>
      <w:r w:rsidRPr="00A16AE8">
        <w:rPr>
          <w:rFonts w:asciiTheme="majorBidi" w:hAnsiTheme="majorBidi" w:cstheme="majorBidi"/>
          <w:b/>
          <w:bCs/>
          <w:sz w:val="24"/>
          <w:szCs w:val="24"/>
        </w:rPr>
        <w:t>Twab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Tahani</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Matrafi</w:t>
      </w:r>
      <w:proofErr w:type="spellEnd"/>
      <w:r>
        <w:rPr>
          <w:rFonts w:asciiTheme="majorBidi" w:hAnsiTheme="majorBidi" w:cstheme="majorBidi"/>
          <w:sz w:val="24"/>
          <w:szCs w:val="24"/>
        </w:rPr>
        <w:t>, Jamila El-</w:t>
      </w:r>
      <w:proofErr w:type="spellStart"/>
      <w:r>
        <w:rPr>
          <w:rFonts w:asciiTheme="majorBidi" w:hAnsiTheme="majorBidi" w:cstheme="majorBidi"/>
          <w:sz w:val="24"/>
          <w:szCs w:val="24"/>
        </w:rPr>
        <w:t>Medany</w:t>
      </w:r>
      <w:proofErr w:type="spellEnd"/>
      <w:r>
        <w:rPr>
          <w:rFonts w:asciiTheme="majorBidi" w:hAnsiTheme="majorBidi" w:cstheme="majorBidi"/>
          <w:sz w:val="24"/>
          <w:szCs w:val="24"/>
        </w:rPr>
        <w:t>.</w:t>
      </w:r>
    </w:p>
    <w:p w:rsidR="009E4B61" w:rsidRPr="001102E8" w:rsidRDefault="009E4B61" w:rsidP="00A16AE8">
      <w:pPr>
        <w:bidi w:val="0"/>
        <w:spacing w:line="360" w:lineRule="auto"/>
        <w:rPr>
          <w:rFonts w:asciiTheme="majorBidi" w:hAnsiTheme="majorBidi" w:cstheme="majorBidi"/>
          <w:sz w:val="24"/>
          <w:szCs w:val="24"/>
        </w:rPr>
      </w:pPr>
      <w:r w:rsidRPr="001102E8">
        <w:rPr>
          <w:rFonts w:asciiTheme="majorBidi" w:hAnsiTheme="majorBidi" w:cstheme="majorBidi"/>
          <w:sz w:val="24"/>
          <w:szCs w:val="24"/>
        </w:rPr>
        <w:t xml:space="preserve"> Received: 19 February 2019 /Accepted: 13 April 2020 //Published online: 28 April 2020</w:t>
      </w:r>
    </w:p>
    <w:p w:rsidR="00A16AE8" w:rsidRPr="00A16AE8" w:rsidRDefault="009E4B61" w:rsidP="00A16AE8">
      <w:pPr>
        <w:bidi w:val="0"/>
        <w:spacing w:line="360" w:lineRule="auto"/>
        <w:rPr>
          <w:rFonts w:asciiTheme="majorBidi" w:hAnsiTheme="majorBidi" w:cstheme="majorBidi"/>
          <w:b/>
          <w:bCs/>
          <w:sz w:val="28"/>
          <w:szCs w:val="28"/>
        </w:rPr>
      </w:pPr>
      <w:r w:rsidRPr="001102E8">
        <w:rPr>
          <w:rFonts w:asciiTheme="majorBidi" w:hAnsiTheme="majorBidi" w:cstheme="majorBidi"/>
          <w:sz w:val="24"/>
          <w:szCs w:val="24"/>
        </w:rPr>
        <w:t xml:space="preserve"> </w:t>
      </w:r>
      <w:r w:rsidRPr="00A16AE8">
        <w:rPr>
          <w:rFonts w:asciiTheme="majorBidi" w:hAnsiTheme="majorBidi" w:cstheme="majorBidi"/>
          <w:b/>
          <w:bCs/>
          <w:sz w:val="28"/>
          <w:szCs w:val="28"/>
        </w:rPr>
        <w:t>Abstract</w:t>
      </w:r>
    </w:p>
    <w:p w:rsidR="009E4B61" w:rsidRPr="001102E8" w:rsidRDefault="009E4B61" w:rsidP="00743ED6">
      <w:pPr>
        <w:bidi w:val="0"/>
        <w:spacing w:line="360" w:lineRule="auto"/>
        <w:jc w:val="both"/>
        <w:rPr>
          <w:rFonts w:asciiTheme="majorBidi" w:hAnsiTheme="majorBidi" w:cstheme="majorBidi"/>
          <w:sz w:val="24"/>
          <w:szCs w:val="24"/>
        </w:rPr>
      </w:pPr>
      <w:r w:rsidRPr="001102E8">
        <w:rPr>
          <w:rFonts w:asciiTheme="majorBidi" w:hAnsiTheme="majorBidi" w:cstheme="majorBidi"/>
          <w:sz w:val="24"/>
          <w:szCs w:val="24"/>
        </w:rPr>
        <w:t xml:space="preserve"> Gastric ulcer is a worldwide disease. Helicobacter pylori is one of the most common chronic bacterial infections that induce chronic inflammation in the gastric mucosa, mediated by an array of pro-and inflammatory cytokines. The aim of this study was to investigate the possible therapeutic effects of Ginkgo biloba extract on gastric ulcer induced by ammonium hydroxide in rats and the potential underlying mechanisms. The study was done on 32 adult male </w:t>
      </w:r>
      <w:proofErr w:type="spellStart"/>
      <w:r w:rsidRPr="001102E8">
        <w:rPr>
          <w:rFonts w:asciiTheme="majorBidi" w:hAnsiTheme="majorBidi" w:cstheme="majorBidi"/>
          <w:sz w:val="24"/>
          <w:szCs w:val="24"/>
        </w:rPr>
        <w:t>Wistar</w:t>
      </w:r>
      <w:proofErr w:type="spellEnd"/>
      <w:r w:rsidRPr="001102E8">
        <w:rPr>
          <w:rFonts w:asciiTheme="majorBidi" w:hAnsiTheme="majorBidi" w:cstheme="majorBidi"/>
          <w:sz w:val="24"/>
          <w:szCs w:val="24"/>
        </w:rPr>
        <w:t xml:space="preserve"> albino rats, divided equally into 4 groups: normal control, gastric ulcer–induced group using 1 ml of 1% NH4OH orally, ulcer control group; rats received 1% </w:t>
      </w:r>
      <w:proofErr w:type="spellStart"/>
      <w:r w:rsidRPr="001102E8">
        <w:rPr>
          <w:rFonts w:asciiTheme="majorBidi" w:hAnsiTheme="majorBidi" w:cstheme="majorBidi"/>
          <w:sz w:val="24"/>
          <w:szCs w:val="24"/>
        </w:rPr>
        <w:t>carboxymethyl</w:t>
      </w:r>
      <w:proofErr w:type="spellEnd"/>
      <w:r w:rsidRPr="001102E8">
        <w:rPr>
          <w:rFonts w:asciiTheme="majorBidi" w:hAnsiTheme="majorBidi" w:cstheme="majorBidi"/>
          <w:sz w:val="24"/>
          <w:szCs w:val="24"/>
        </w:rPr>
        <w:t xml:space="preserve"> cellulose daily for 14 days after induction of ulcer and treated rats received orally 200 mg/kg Ginkgo biloba once daily for 14 days after induction of ulcer. The study revealed administration of ammonia showed multiple gastric lesions; edema, hyperemia, hemorrhage, and ulcers with a significant increase in ulcer score, myeloperoxidase (MPO), and interleukin1β (IL-1β) and a significant decrease in reduced glutathione (GSH), mucus amount, and gastric </w:t>
      </w:r>
      <w:proofErr w:type="spellStart"/>
      <w:r w:rsidRPr="001102E8">
        <w:rPr>
          <w:rFonts w:asciiTheme="majorBidi" w:hAnsiTheme="majorBidi" w:cstheme="majorBidi"/>
          <w:sz w:val="24"/>
          <w:szCs w:val="24"/>
        </w:rPr>
        <w:t>pH.</w:t>
      </w:r>
      <w:proofErr w:type="spellEnd"/>
      <w:r w:rsidRPr="001102E8">
        <w:rPr>
          <w:rFonts w:asciiTheme="majorBidi" w:hAnsiTheme="majorBidi" w:cstheme="majorBidi"/>
          <w:sz w:val="24"/>
          <w:szCs w:val="24"/>
        </w:rPr>
        <w:t xml:space="preserve"> After the administration of Ginkgo biloba, there was an improvement in gastric lesions, with a significant reduction of ulcer score, MPO, and IL-1β and a significant increase in GSH, mucus content, and gastric </w:t>
      </w:r>
      <w:proofErr w:type="spellStart"/>
      <w:r w:rsidRPr="001102E8">
        <w:rPr>
          <w:rFonts w:asciiTheme="majorBidi" w:hAnsiTheme="majorBidi" w:cstheme="majorBidi"/>
          <w:sz w:val="24"/>
          <w:szCs w:val="24"/>
        </w:rPr>
        <w:t>pH.</w:t>
      </w:r>
      <w:proofErr w:type="spellEnd"/>
      <w:r w:rsidRPr="001102E8">
        <w:rPr>
          <w:rFonts w:asciiTheme="majorBidi" w:hAnsiTheme="majorBidi" w:cstheme="majorBidi"/>
          <w:sz w:val="24"/>
          <w:szCs w:val="24"/>
        </w:rPr>
        <w:t xml:space="preserve"> Moreover, collagen types I and IV were gradually increased in the treated group.</w:t>
      </w: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9E4B61" w:rsidP="001102E8">
      <w:pPr>
        <w:bidi w:val="0"/>
        <w:spacing w:line="360" w:lineRule="auto"/>
        <w:rPr>
          <w:rFonts w:asciiTheme="majorBidi" w:hAnsiTheme="majorBidi" w:cstheme="majorBidi"/>
          <w:sz w:val="24"/>
          <w:szCs w:val="24"/>
        </w:rPr>
      </w:pPr>
    </w:p>
    <w:p w:rsidR="00A16AE8" w:rsidRPr="001102E8" w:rsidRDefault="00A16AE8" w:rsidP="00A16AE8">
      <w:pPr>
        <w:bidi w:val="0"/>
        <w:spacing w:line="360" w:lineRule="auto"/>
        <w:rPr>
          <w:rFonts w:asciiTheme="majorBidi" w:hAnsiTheme="majorBidi" w:cstheme="majorBidi"/>
          <w:b/>
          <w:bCs/>
          <w:sz w:val="28"/>
          <w:szCs w:val="28"/>
        </w:rPr>
      </w:pPr>
      <w:r w:rsidRPr="001102E8">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3</w:t>
      </w:r>
      <w:r w:rsidRPr="001102E8">
        <w:rPr>
          <w:rFonts w:asciiTheme="majorBidi" w:hAnsiTheme="majorBidi" w:cstheme="majorBidi"/>
          <w:b/>
          <w:bCs/>
          <w:sz w:val="28"/>
          <w:szCs w:val="28"/>
        </w:rPr>
        <w:t>-202</w:t>
      </w:r>
      <w:r>
        <w:rPr>
          <w:rFonts w:asciiTheme="majorBidi" w:hAnsiTheme="majorBidi" w:cstheme="majorBidi"/>
          <w:b/>
          <w:bCs/>
          <w:sz w:val="28"/>
          <w:szCs w:val="28"/>
        </w:rPr>
        <w:t>0</w:t>
      </w:r>
    </w:p>
    <w:p w:rsidR="009E4B61" w:rsidRPr="00A16AE8" w:rsidRDefault="009E4B61" w:rsidP="001102E8">
      <w:pPr>
        <w:bidi w:val="0"/>
        <w:spacing w:line="360" w:lineRule="auto"/>
        <w:rPr>
          <w:rFonts w:asciiTheme="majorBidi" w:hAnsiTheme="majorBidi" w:cstheme="majorBidi"/>
          <w:b/>
          <w:bCs/>
          <w:sz w:val="24"/>
          <w:szCs w:val="24"/>
        </w:rPr>
      </w:pPr>
      <w:r w:rsidRPr="00A16AE8">
        <w:rPr>
          <w:rFonts w:asciiTheme="majorBidi" w:hAnsiTheme="majorBidi" w:cstheme="majorBidi"/>
          <w:b/>
          <w:bCs/>
          <w:sz w:val="24"/>
          <w:szCs w:val="24"/>
        </w:rPr>
        <w:t>International Journal of Pharmaceutical Research &amp; Allied Sciences, 2020, 9(3):163-171</w:t>
      </w:r>
    </w:p>
    <w:p w:rsidR="00A16AE8" w:rsidRDefault="009E4B61" w:rsidP="001102E8">
      <w:pPr>
        <w:bidi w:val="0"/>
        <w:spacing w:line="360" w:lineRule="auto"/>
        <w:rPr>
          <w:rFonts w:asciiTheme="majorBidi" w:hAnsiTheme="majorBidi" w:cstheme="majorBidi"/>
          <w:sz w:val="24"/>
          <w:szCs w:val="24"/>
        </w:rPr>
      </w:pPr>
      <w:proofErr w:type="spellStart"/>
      <w:r w:rsidRPr="00A16AE8">
        <w:rPr>
          <w:rFonts w:asciiTheme="majorBidi" w:hAnsiTheme="majorBidi" w:cstheme="majorBidi"/>
          <w:b/>
          <w:bCs/>
          <w:sz w:val="24"/>
          <w:szCs w:val="24"/>
        </w:rPr>
        <w:t>Immunohistochemical</w:t>
      </w:r>
      <w:proofErr w:type="spellEnd"/>
      <w:r w:rsidRPr="00A16AE8">
        <w:rPr>
          <w:rFonts w:asciiTheme="majorBidi" w:hAnsiTheme="majorBidi" w:cstheme="majorBidi"/>
          <w:b/>
          <w:bCs/>
          <w:sz w:val="24"/>
          <w:szCs w:val="24"/>
        </w:rPr>
        <w:t xml:space="preserve"> Overexpression of </w:t>
      </w:r>
      <w:proofErr w:type="spellStart"/>
      <w:r w:rsidRPr="00A16AE8">
        <w:rPr>
          <w:rFonts w:asciiTheme="majorBidi" w:hAnsiTheme="majorBidi" w:cstheme="majorBidi"/>
          <w:b/>
          <w:bCs/>
          <w:sz w:val="24"/>
          <w:szCs w:val="24"/>
        </w:rPr>
        <w:t>nNOS</w:t>
      </w:r>
      <w:proofErr w:type="spellEnd"/>
      <w:r w:rsidRPr="00A16AE8">
        <w:rPr>
          <w:rFonts w:asciiTheme="majorBidi" w:hAnsiTheme="majorBidi" w:cstheme="majorBidi"/>
          <w:b/>
          <w:bCs/>
          <w:sz w:val="24"/>
          <w:szCs w:val="24"/>
        </w:rPr>
        <w:t>, S100 Protein, and α-</w:t>
      </w:r>
      <w:proofErr w:type="spellStart"/>
      <w:r w:rsidRPr="00A16AE8">
        <w:rPr>
          <w:rFonts w:asciiTheme="majorBidi" w:hAnsiTheme="majorBidi" w:cstheme="majorBidi"/>
          <w:b/>
          <w:bCs/>
          <w:sz w:val="24"/>
          <w:szCs w:val="24"/>
        </w:rPr>
        <w:t>Synuclein</w:t>
      </w:r>
      <w:proofErr w:type="spellEnd"/>
      <w:r w:rsidRPr="00A16AE8">
        <w:rPr>
          <w:rFonts w:asciiTheme="majorBidi" w:hAnsiTheme="majorBidi" w:cstheme="majorBidi"/>
          <w:b/>
          <w:bCs/>
          <w:sz w:val="24"/>
          <w:szCs w:val="24"/>
        </w:rPr>
        <w:t xml:space="preserve"> in Myenteric Plexus of AS/AGU Rats</w:t>
      </w:r>
      <w:r w:rsidR="00A16AE8">
        <w:rPr>
          <w:rFonts w:asciiTheme="majorBidi" w:hAnsiTheme="majorBidi" w:cstheme="majorBidi"/>
          <w:sz w:val="24"/>
          <w:szCs w:val="24"/>
        </w:rPr>
        <w:t>:</w:t>
      </w:r>
    </w:p>
    <w:p w:rsidR="00A16AE8" w:rsidRDefault="00A16AE8" w:rsidP="00A16AE8">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Muhammad </w:t>
      </w:r>
      <w:proofErr w:type="spellStart"/>
      <w:r>
        <w:rPr>
          <w:rFonts w:asciiTheme="majorBidi" w:hAnsiTheme="majorBidi" w:cstheme="majorBidi"/>
          <w:sz w:val="24"/>
          <w:szCs w:val="24"/>
        </w:rPr>
        <w:t>Atteya</w:t>
      </w:r>
      <w:proofErr w:type="spellEnd"/>
      <w:r>
        <w:rPr>
          <w:rFonts w:asciiTheme="majorBidi" w:hAnsiTheme="majorBidi" w:cstheme="majorBidi"/>
          <w:sz w:val="24"/>
          <w:szCs w:val="24"/>
        </w:rPr>
        <w:t>, Aly Mohamed Ahmed</w:t>
      </w:r>
      <w:r w:rsidR="009E4B61" w:rsidRPr="001102E8">
        <w:rPr>
          <w:rFonts w:asciiTheme="majorBidi" w:hAnsiTheme="majorBidi" w:cstheme="majorBidi"/>
          <w:sz w:val="24"/>
          <w:szCs w:val="24"/>
        </w:rPr>
        <w:t xml:space="preserve"> , </w:t>
      </w:r>
      <w:proofErr w:type="spellStart"/>
      <w:r>
        <w:rPr>
          <w:rFonts w:asciiTheme="majorBidi" w:hAnsiTheme="majorBidi" w:cstheme="majorBidi"/>
          <w:b/>
          <w:bCs/>
          <w:sz w:val="24"/>
          <w:szCs w:val="24"/>
        </w:rPr>
        <w:t>Raeesa</w:t>
      </w:r>
      <w:proofErr w:type="spellEnd"/>
      <w:r>
        <w:rPr>
          <w:rFonts w:asciiTheme="majorBidi" w:hAnsiTheme="majorBidi" w:cstheme="majorBidi"/>
          <w:b/>
          <w:bCs/>
          <w:sz w:val="24"/>
          <w:szCs w:val="24"/>
        </w:rPr>
        <w:t xml:space="preserve"> Abdel-</w:t>
      </w:r>
      <w:proofErr w:type="spellStart"/>
      <w:r>
        <w:rPr>
          <w:rFonts w:asciiTheme="majorBidi" w:hAnsiTheme="majorBidi" w:cstheme="majorBidi"/>
          <w:b/>
          <w:bCs/>
          <w:sz w:val="24"/>
          <w:szCs w:val="24"/>
        </w:rPr>
        <w:t>Tawab</w:t>
      </w:r>
      <w:proofErr w:type="spellEnd"/>
      <w:r>
        <w:rPr>
          <w:rFonts w:asciiTheme="majorBidi" w:hAnsiTheme="majorBidi" w:cstheme="majorBidi"/>
          <w:b/>
          <w:bCs/>
          <w:sz w:val="24"/>
          <w:szCs w:val="24"/>
        </w:rPr>
        <w:t xml:space="preserve"> Mohammed</w:t>
      </w:r>
      <w:r>
        <w:rPr>
          <w:rFonts w:asciiTheme="majorBidi" w:hAnsiTheme="majorBidi" w:cstheme="majorBidi"/>
          <w:sz w:val="24"/>
          <w:szCs w:val="24"/>
        </w:rPr>
        <w:t xml:space="preserve"> , </w:t>
      </w:r>
      <w:proofErr w:type="spellStart"/>
      <w:r>
        <w:rPr>
          <w:rFonts w:asciiTheme="majorBidi" w:hAnsiTheme="majorBidi" w:cstheme="majorBidi"/>
          <w:sz w:val="24"/>
          <w:szCs w:val="24"/>
        </w:rPr>
        <w:t>Musaad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Alfayez , </w:t>
      </w:r>
      <w:proofErr w:type="spellStart"/>
      <w:r>
        <w:rPr>
          <w:rFonts w:asciiTheme="majorBidi" w:hAnsiTheme="majorBidi" w:cstheme="majorBidi"/>
          <w:sz w:val="24"/>
          <w:szCs w:val="24"/>
        </w:rPr>
        <w:t>Shimaa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Abdellah</w:t>
      </w:r>
      <w:proofErr w:type="spellEnd"/>
      <w:r>
        <w:rPr>
          <w:rFonts w:asciiTheme="majorBidi" w:hAnsiTheme="majorBidi" w:cstheme="majorBidi"/>
          <w:sz w:val="24"/>
          <w:szCs w:val="24"/>
        </w:rPr>
        <w:t xml:space="preserve"> Mohammed ,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Siyal</w:t>
      </w:r>
      <w:proofErr w:type="spellEnd"/>
      <w:r w:rsidR="009E4B61" w:rsidRPr="001102E8">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Tahani</w:t>
      </w:r>
      <w:proofErr w:type="spellEnd"/>
      <w:r>
        <w:rPr>
          <w:rFonts w:asciiTheme="majorBidi" w:hAnsiTheme="majorBidi" w:cstheme="majorBidi"/>
          <w:sz w:val="24"/>
          <w:szCs w:val="24"/>
        </w:rPr>
        <w:t xml:space="preserve"> Ahmad Al-Matrafi1 , </w:t>
      </w:r>
      <w:proofErr w:type="spellStart"/>
      <w:r>
        <w:rPr>
          <w:rFonts w:asciiTheme="majorBidi" w:hAnsiTheme="majorBidi" w:cstheme="majorBidi"/>
          <w:sz w:val="24"/>
          <w:szCs w:val="24"/>
        </w:rPr>
        <w:t>Amal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AlRabiah</w:t>
      </w:r>
      <w:proofErr w:type="spellEnd"/>
      <w:r>
        <w:rPr>
          <w:rFonts w:asciiTheme="majorBidi" w:hAnsiTheme="majorBidi" w:cstheme="majorBidi"/>
          <w:sz w:val="24"/>
          <w:szCs w:val="24"/>
        </w:rPr>
        <w:t xml:space="preserve"> , Hamad Mohammed </w:t>
      </w:r>
      <w:proofErr w:type="spellStart"/>
      <w:r>
        <w:rPr>
          <w:rFonts w:asciiTheme="majorBidi" w:hAnsiTheme="majorBidi" w:cstheme="majorBidi"/>
          <w:sz w:val="24"/>
          <w:szCs w:val="24"/>
        </w:rPr>
        <w:t>Alqahtani</w:t>
      </w:r>
      <w:proofErr w:type="spellEnd"/>
      <w:r>
        <w:rPr>
          <w:rFonts w:asciiTheme="majorBidi" w:hAnsiTheme="majorBidi" w:cstheme="majorBidi"/>
          <w:sz w:val="24"/>
          <w:szCs w:val="24"/>
        </w:rPr>
        <w:t>, Anthony Payne.</w:t>
      </w:r>
    </w:p>
    <w:p w:rsidR="00A16AE8" w:rsidRDefault="009E4B61" w:rsidP="00A16AE8">
      <w:pPr>
        <w:bidi w:val="0"/>
        <w:spacing w:line="360" w:lineRule="auto"/>
        <w:rPr>
          <w:rFonts w:asciiTheme="majorBidi" w:hAnsiTheme="majorBidi" w:cstheme="majorBidi"/>
          <w:sz w:val="24"/>
          <w:szCs w:val="24"/>
        </w:rPr>
      </w:pPr>
      <w:r w:rsidRPr="00A16AE8">
        <w:rPr>
          <w:rFonts w:asciiTheme="majorBidi" w:hAnsiTheme="majorBidi" w:cstheme="majorBidi"/>
          <w:b/>
          <w:bCs/>
          <w:sz w:val="24"/>
          <w:szCs w:val="24"/>
        </w:rPr>
        <w:t>ABSTRACT Objective</w:t>
      </w:r>
    </w:p>
    <w:p w:rsidR="009E4B61" w:rsidRPr="001102E8" w:rsidRDefault="009E4B61" w:rsidP="00743ED6">
      <w:pPr>
        <w:bidi w:val="0"/>
        <w:spacing w:line="360" w:lineRule="auto"/>
        <w:jc w:val="both"/>
        <w:rPr>
          <w:rFonts w:asciiTheme="majorBidi" w:hAnsiTheme="majorBidi" w:cstheme="majorBidi"/>
          <w:sz w:val="24"/>
          <w:szCs w:val="24"/>
        </w:rPr>
      </w:pPr>
      <w:r w:rsidRPr="001102E8">
        <w:rPr>
          <w:rFonts w:asciiTheme="majorBidi" w:hAnsiTheme="majorBidi" w:cstheme="majorBidi"/>
          <w:sz w:val="24"/>
          <w:szCs w:val="24"/>
        </w:rPr>
        <w:t xml:space="preserve">There are four currently motor features characterizing Parkinson's disease (PD). These include rigidity of muscles, bradykinesia, tremors at rest, and instability of posture. Along the course of PD, the impairment of motor functions is commonly preceded by </w:t>
      </w:r>
      <w:proofErr w:type="spellStart"/>
      <w:r w:rsidRPr="001102E8">
        <w:rPr>
          <w:rFonts w:asciiTheme="majorBidi" w:hAnsiTheme="majorBidi" w:cstheme="majorBidi"/>
          <w:sz w:val="24"/>
          <w:szCs w:val="24"/>
        </w:rPr>
        <w:t>nonmotor</w:t>
      </w:r>
      <w:proofErr w:type="spellEnd"/>
      <w:r w:rsidRPr="001102E8">
        <w:rPr>
          <w:rFonts w:asciiTheme="majorBidi" w:hAnsiTheme="majorBidi" w:cstheme="majorBidi"/>
          <w:sz w:val="24"/>
          <w:szCs w:val="24"/>
        </w:rPr>
        <w:t xml:space="preserve"> symptoms (NMS) such as olfactory deficit, difficult swallowing (dysphagia), drooling (</w:t>
      </w:r>
      <w:proofErr w:type="spellStart"/>
      <w:r w:rsidRPr="001102E8">
        <w:rPr>
          <w:rFonts w:asciiTheme="majorBidi" w:hAnsiTheme="majorBidi" w:cstheme="majorBidi"/>
          <w:sz w:val="24"/>
          <w:szCs w:val="24"/>
        </w:rPr>
        <w:t>sialorrhea</w:t>
      </w:r>
      <w:proofErr w:type="spellEnd"/>
      <w:r w:rsidRPr="001102E8">
        <w:rPr>
          <w:rFonts w:asciiTheme="majorBidi" w:hAnsiTheme="majorBidi" w:cstheme="majorBidi"/>
          <w:sz w:val="24"/>
          <w:szCs w:val="24"/>
        </w:rPr>
        <w:t xml:space="preserve">), constipation, urinary bladder dysfunction, depression, and sleep disorder. It was suggested that the enteric nervous system could be the initial site for the pathological process leading to PD. Materials and Methods: Six male adult control AS rats (normal control) and six male adults AS/AGU rats (model of PD) were sacrificed. A rectangular strip from the body of the stomach and a cross-section from the duodenum were dissected and processed for histological staining with hematoxylin and eosin, and </w:t>
      </w:r>
      <w:proofErr w:type="spellStart"/>
      <w:r w:rsidRPr="001102E8">
        <w:rPr>
          <w:rFonts w:asciiTheme="majorBidi" w:hAnsiTheme="majorBidi" w:cstheme="majorBidi"/>
          <w:sz w:val="24"/>
          <w:szCs w:val="24"/>
        </w:rPr>
        <w:t>immunohistochemical</w:t>
      </w:r>
      <w:proofErr w:type="spellEnd"/>
      <w:r w:rsidRPr="001102E8">
        <w:rPr>
          <w:rFonts w:asciiTheme="majorBidi" w:hAnsiTheme="majorBidi" w:cstheme="majorBidi"/>
          <w:sz w:val="24"/>
          <w:szCs w:val="24"/>
        </w:rPr>
        <w:t xml:space="preserve"> staining for detection of </w:t>
      </w:r>
      <w:proofErr w:type="spellStart"/>
      <w:r w:rsidRPr="001102E8">
        <w:rPr>
          <w:rFonts w:asciiTheme="majorBidi" w:hAnsiTheme="majorBidi" w:cstheme="majorBidi"/>
          <w:sz w:val="24"/>
          <w:szCs w:val="24"/>
        </w:rPr>
        <w:t>nNOS</w:t>
      </w:r>
      <w:proofErr w:type="spellEnd"/>
      <w:r w:rsidRPr="001102E8">
        <w:rPr>
          <w:rFonts w:asciiTheme="majorBidi" w:hAnsiTheme="majorBidi" w:cstheme="majorBidi"/>
          <w:sz w:val="24"/>
          <w:szCs w:val="24"/>
        </w:rPr>
        <w:t xml:space="preserve"> (neuronal NOS), S100 protein (astrocyte marker), and alpha-</w:t>
      </w:r>
      <w:proofErr w:type="spellStart"/>
      <w:r w:rsidRPr="001102E8">
        <w:rPr>
          <w:rFonts w:asciiTheme="majorBidi" w:hAnsiTheme="majorBidi" w:cstheme="majorBidi"/>
          <w:sz w:val="24"/>
          <w:szCs w:val="24"/>
        </w:rPr>
        <w:t>synuclein</w:t>
      </w:r>
      <w:proofErr w:type="spellEnd"/>
      <w:r w:rsidRPr="001102E8">
        <w:rPr>
          <w:rFonts w:asciiTheme="majorBidi" w:hAnsiTheme="majorBidi" w:cstheme="majorBidi"/>
          <w:sz w:val="24"/>
          <w:szCs w:val="24"/>
        </w:rPr>
        <w:t xml:space="preserve"> (α-</w:t>
      </w:r>
      <w:proofErr w:type="spellStart"/>
      <w:r w:rsidRPr="001102E8">
        <w:rPr>
          <w:rFonts w:asciiTheme="majorBidi" w:hAnsiTheme="majorBidi" w:cstheme="majorBidi"/>
          <w:sz w:val="24"/>
          <w:szCs w:val="24"/>
        </w:rPr>
        <w:t>synuclein</w:t>
      </w:r>
      <w:proofErr w:type="spellEnd"/>
      <w:r w:rsidRPr="001102E8">
        <w:rPr>
          <w:rFonts w:asciiTheme="majorBidi" w:hAnsiTheme="majorBidi" w:cstheme="majorBidi"/>
          <w:sz w:val="24"/>
          <w:szCs w:val="24"/>
        </w:rPr>
        <w:t xml:space="preserve">). Results: The histological analysis of the stomach and duodenum of AS/AGU rats demonstrated necrotic smooth muscle cells of muscularis externa. The </w:t>
      </w:r>
      <w:proofErr w:type="spellStart"/>
      <w:r w:rsidRPr="001102E8">
        <w:rPr>
          <w:rFonts w:asciiTheme="majorBidi" w:hAnsiTheme="majorBidi" w:cstheme="majorBidi"/>
          <w:sz w:val="24"/>
          <w:szCs w:val="24"/>
        </w:rPr>
        <w:t>immunohistochemical</w:t>
      </w:r>
      <w:proofErr w:type="spellEnd"/>
      <w:r w:rsidRPr="001102E8">
        <w:rPr>
          <w:rFonts w:asciiTheme="majorBidi" w:hAnsiTheme="majorBidi" w:cstheme="majorBidi"/>
          <w:sz w:val="24"/>
          <w:szCs w:val="24"/>
        </w:rPr>
        <w:t xml:space="preserve"> analysis of AS/AGU rats showed a statistically significant increase in the expression of </w:t>
      </w:r>
      <w:proofErr w:type="spellStart"/>
      <w:r w:rsidRPr="001102E8">
        <w:rPr>
          <w:rFonts w:asciiTheme="majorBidi" w:hAnsiTheme="majorBidi" w:cstheme="majorBidi"/>
          <w:sz w:val="24"/>
          <w:szCs w:val="24"/>
        </w:rPr>
        <w:t>nNOS</w:t>
      </w:r>
      <w:proofErr w:type="spellEnd"/>
      <w:r w:rsidRPr="001102E8">
        <w:rPr>
          <w:rFonts w:asciiTheme="majorBidi" w:hAnsiTheme="majorBidi" w:cstheme="majorBidi"/>
          <w:sz w:val="24"/>
          <w:szCs w:val="24"/>
        </w:rPr>
        <w:t>, S100 protein, and α-</w:t>
      </w:r>
      <w:proofErr w:type="spellStart"/>
      <w:r w:rsidRPr="001102E8">
        <w:rPr>
          <w:rFonts w:asciiTheme="majorBidi" w:hAnsiTheme="majorBidi" w:cstheme="majorBidi"/>
          <w:sz w:val="24"/>
          <w:szCs w:val="24"/>
        </w:rPr>
        <w:t>synuclein</w:t>
      </w:r>
      <w:proofErr w:type="spellEnd"/>
      <w:r w:rsidRPr="001102E8">
        <w:rPr>
          <w:rFonts w:asciiTheme="majorBidi" w:hAnsiTheme="majorBidi" w:cstheme="majorBidi"/>
          <w:sz w:val="24"/>
          <w:szCs w:val="24"/>
        </w:rPr>
        <w:t xml:space="preserve"> expression of myenteric plexuses compared to the control strain AS rats. Conclusion: Gastroduodenal tract of AS/AGU rats showed marked histopathological changes and </w:t>
      </w:r>
      <w:proofErr w:type="spellStart"/>
      <w:r w:rsidRPr="001102E8">
        <w:rPr>
          <w:rFonts w:asciiTheme="majorBidi" w:hAnsiTheme="majorBidi" w:cstheme="majorBidi"/>
          <w:sz w:val="24"/>
          <w:szCs w:val="24"/>
        </w:rPr>
        <w:t>immunohistochemical</w:t>
      </w:r>
      <w:proofErr w:type="spellEnd"/>
      <w:r w:rsidRPr="001102E8">
        <w:rPr>
          <w:rFonts w:asciiTheme="majorBidi" w:hAnsiTheme="majorBidi" w:cstheme="majorBidi"/>
          <w:sz w:val="24"/>
          <w:szCs w:val="24"/>
        </w:rPr>
        <w:t xml:space="preserve"> overexpression of </w:t>
      </w:r>
      <w:proofErr w:type="spellStart"/>
      <w:r w:rsidRPr="001102E8">
        <w:rPr>
          <w:rFonts w:asciiTheme="majorBidi" w:hAnsiTheme="majorBidi" w:cstheme="majorBidi"/>
          <w:sz w:val="24"/>
          <w:szCs w:val="24"/>
        </w:rPr>
        <w:t>nNOS</w:t>
      </w:r>
      <w:proofErr w:type="spellEnd"/>
      <w:r w:rsidRPr="001102E8">
        <w:rPr>
          <w:rFonts w:asciiTheme="majorBidi" w:hAnsiTheme="majorBidi" w:cstheme="majorBidi"/>
          <w:sz w:val="24"/>
          <w:szCs w:val="24"/>
        </w:rPr>
        <w:t>, S100, and α-</w:t>
      </w:r>
      <w:proofErr w:type="spellStart"/>
      <w:r w:rsidRPr="001102E8">
        <w:rPr>
          <w:rFonts w:asciiTheme="majorBidi" w:hAnsiTheme="majorBidi" w:cstheme="majorBidi"/>
          <w:sz w:val="24"/>
          <w:szCs w:val="24"/>
        </w:rPr>
        <w:t>synuclein</w:t>
      </w:r>
      <w:proofErr w:type="spellEnd"/>
      <w:r w:rsidRPr="001102E8">
        <w:rPr>
          <w:rFonts w:asciiTheme="majorBidi" w:hAnsiTheme="majorBidi" w:cstheme="majorBidi"/>
          <w:sz w:val="24"/>
          <w:szCs w:val="24"/>
        </w:rPr>
        <w:t>.</w:t>
      </w: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A16AE8" w:rsidP="00743ED6">
      <w:pPr>
        <w:bidi w:val="0"/>
        <w:spacing w:line="360" w:lineRule="auto"/>
        <w:jc w:val="center"/>
        <w:rPr>
          <w:rFonts w:asciiTheme="majorBidi" w:hAnsiTheme="majorBidi" w:cstheme="majorBidi"/>
          <w:sz w:val="24"/>
          <w:szCs w:val="24"/>
        </w:rPr>
      </w:pPr>
      <w:r w:rsidRPr="001102E8">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4</w:t>
      </w:r>
      <w:r w:rsidRPr="001102E8">
        <w:rPr>
          <w:rFonts w:asciiTheme="majorBidi" w:hAnsiTheme="majorBidi" w:cstheme="majorBidi"/>
          <w:b/>
          <w:bCs/>
          <w:sz w:val="28"/>
          <w:szCs w:val="28"/>
        </w:rPr>
        <w:t>-202</w:t>
      </w:r>
      <w:r>
        <w:rPr>
          <w:rFonts w:asciiTheme="majorBidi" w:hAnsiTheme="majorBidi" w:cstheme="majorBidi"/>
          <w:b/>
          <w:bCs/>
          <w:sz w:val="28"/>
          <w:szCs w:val="28"/>
        </w:rPr>
        <w:t>0</w:t>
      </w:r>
    </w:p>
    <w:p w:rsidR="00A16AE8" w:rsidRPr="00A16AE8" w:rsidRDefault="009E4B61" w:rsidP="001102E8">
      <w:pPr>
        <w:bidi w:val="0"/>
        <w:spacing w:line="360" w:lineRule="auto"/>
        <w:rPr>
          <w:rFonts w:asciiTheme="majorBidi" w:hAnsiTheme="majorBidi" w:cstheme="majorBidi"/>
          <w:b/>
          <w:bCs/>
          <w:sz w:val="24"/>
          <w:szCs w:val="24"/>
        </w:rPr>
      </w:pPr>
      <w:r w:rsidRPr="00A16AE8">
        <w:rPr>
          <w:rFonts w:asciiTheme="majorBidi" w:hAnsiTheme="majorBidi" w:cstheme="majorBidi"/>
          <w:b/>
          <w:bCs/>
          <w:sz w:val="24"/>
          <w:szCs w:val="24"/>
        </w:rPr>
        <w:t xml:space="preserve">Dose-Response: An International Journal </w:t>
      </w:r>
    </w:p>
    <w:p w:rsidR="009E4B61" w:rsidRPr="001102E8" w:rsidRDefault="009E4B61" w:rsidP="00A16AE8">
      <w:pPr>
        <w:bidi w:val="0"/>
        <w:spacing w:line="360" w:lineRule="auto"/>
        <w:rPr>
          <w:rFonts w:asciiTheme="majorBidi" w:hAnsiTheme="majorBidi" w:cstheme="majorBidi"/>
          <w:sz w:val="24"/>
          <w:szCs w:val="24"/>
        </w:rPr>
      </w:pPr>
      <w:r w:rsidRPr="00A16AE8">
        <w:rPr>
          <w:rFonts w:asciiTheme="majorBidi" w:hAnsiTheme="majorBidi" w:cstheme="majorBidi"/>
          <w:b/>
          <w:bCs/>
          <w:sz w:val="24"/>
          <w:szCs w:val="24"/>
        </w:rPr>
        <w:t>July-September 2020</w:t>
      </w:r>
      <w:r w:rsidRPr="001102E8">
        <w:rPr>
          <w:rFonts w:asciiTheme="majorBidi" w:hAnsiTheme="majorBidi" w:cstheme="majorBidi"/>
          <w:sz w:val="24"/>
          <w:szCs w:val="24"/>
        </w:rPr>
        <w:t>:</w:t>
      </w:r>
      <w:r w:rsidR="00A16AE8">
        <w:rPr>
          <w:rFonts w:asciiTheme="majorBidi" w:hAnsiTheme="majorBidi" w:cstheme="majorBidi"/>
          <w:sz w:val="24"/>
          <w:szCs w:val="24"/>
        </w:rPr>
        <w:t xml:space="preserve"> DOI: 10.1177/1559325820949797-J</w:t>
      </w:r>
      <w:r w:rsidRPr="001102E8">
        <w:rPr>
          <w:rFonts w:asciiTheme="majorBidi" w:hAnsiTheme="majorBidi" w:cstheme="majorBidi"/>
          <w:sz w:val="24"/>
          <w:szCs w:val="24"/>
        </w:rPr>
        <w:t>ournals.sagepub.com/home/dos</w:t>
      </w:r>
    </w:p>
    <w:p w:rsidR="00A16AE8" w:rsidRDefault="009E4B61" w:rsidP="001102E8">
      <w:pPr>
        <w:bidi w:val="0"/>
        <w:spacing w:line="360" w:lineRule="auto"/>
        <w:rPr>
          <w:rFonts w:asciiTheme="majorBidi" w:hAnsiTheme="majorBidi" w:cstheme="majorBidi"/>
          <w:sz w:val="24"/>
          <w:szCs w:val="24"/>
        </w:rPr>
      </w:pPr>
      <w:r w:rsidRPr="00A16AE8">
        <w:rPr>
          <w:rFonts w:asciiTheme="majorBidi" w:hAnsiTheme="majorBidi" w:cstheme="majorBidi"/>
          <w:b/>
          <w:bCs/>
          <w:sz w:val="24"/>
          <w:szCs w:val="24"/>
        </w:rPr>
        <w:t>Manipulation of Quercetin and Melatonin in the Down-Regulation of HIF-1, HSP-70 and VEGF Pathways in Rat’s Kidneys Induced by Hypoxic Stress</w:t>
      </w:r>
      <w:r w:rsidR="00A16AE8">
        <w:rPr>
          <w:rFonts w:asciiTheme="majorBidi" w:hAnsiTheme="majorBidi" w:cstheme="majorBidi"/>
          <w:sz w:val="24"/>
          <w:szCs w:val="24"/>
        </w:rPr>
        <w:t>:</w:t>
      </w:r>
    </w:p>
    <w:p w:rsidR="00A16AE8" w:rsidRDefault="00A16AE8" w:rsidP="00A16AE8">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Aliah</w:t>
      </w:r>
      <w:proofErr w:type="spellEnd"/>
      <w:r>
        <w:rPr>
          <w:rFonts w:asciiTheme="majorBidi" w:hAnsiTheme="majorBidi" w:cstheme="majorBidi"/>
          <w:sz w:val="24"/>
          <w:szCs w:val="24"/>
        </w:rPr>
        <w:t xml:space="preserve"> R. </w:t>
      </w:r>
      <w:proofErr w:type="spellStart"/>
      <w:proofErr w:type="gramStart"/>
      <w:r>
        <w:rPr>
          <w:rFonts w:asciiTheme="majorBidi" w:hAnsiTheme="majorBidi" w:cstheme="majorBidi"/>
          <w:sz w:val="24"/>
          <w:szCs w:val="24"/>
        </w:rPr>
        <w:t>Alshanwani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Sameerah Shaheen , Laila M. </w:t>
      </w:r>
      <w:proofErr w:type="spellStart"/>
      <w:r>
        <w:rPr>
          <w:rFonts w:asciiTheme="majorBidi" w:hAnsiTheme="majorBidi" w:cstheme="majorBidi"/>
          <w:sz w:val="24"/>
          <w:szCs w:val="24"/>
        </w:rPr>
        <w:t>Faddah</w:t>
      </w:r>
      <w:proofErr w:type="spellEnd"/>
      <w:r w:rsidR="009E4B61" w:rsidRPr="001102E8">
        <w:rPr>
          <w:rFonts w:asciiTheme="majorBidi" w:hAnsiTheme="majorBidi" w:cstheme="majorBidi"/>
          <w:sz w:val="24"/>
          <w:szCs w:val="24"/>
        </w:rPr>
        <w:t xml:space="preserve"> , </w:t>
      </w:r>
      <w:proofErr w:type="spellStart"/>
      <w:r w:rsidR="009E4B61" w:rsidRPr="001102E8">
        <w:rPr>
          <w:rFonts w:asciiTheme="majorBidi" w:hAnsiTheme="majorBidi" w:cstheme="majorBidi"/>
          <w:sz w:val="24"/>
          <w:szCs w:val="24"/>
        </w:rPr>
        <w:t>Ahlam</w:t>
      </w:r>
      <w:proofErr w:type="spellEnd"/>
      <w:r>
        <w:rPr>
          <w:rFonts w:asciiTheme="majorBidi" w:hAnsiTheme="majorBidi" w:cstheme="majorBidi"/>
          <w:sz w:val="24"/>
          <w:szCs w:val="24"/>
        </w:rPr>
        <w:t xml:space="preserve"> M. Alhusaini3 , </w:t>
      </w:r>
      <w:proofErr w:type="spellStart"/>
      <w:r>
        <w:rPr>
          <w:rFonts w:asciiTheme="majorBidi" w:hAnsiTheme="majorBidi" w:cstheme="majorBidi"/>
          <w:sz w:val="24"/>
          <w:szCs w:val="24"/>
        </w:rPr>
        <w:t>Hanaa</w:t>
      </w:r>
      <w:proofErr w:type="spellEnd"/>
      <w:r>
        <w:rPr>
          <w:rFonts w:asciiTheme="majorBidi" w:hAnsiTheme="majorBidi" w:cstheme="majorBidi"/>
          <w:sz w:val="24"/>
          <w:szCs w:val="24"/>
        </w:rPr>
        <w:t xml:space="preserve"> M. Ali, </w:t>
      </w:r>
      <w:proofErr w:type="spellStart"/>
      <w:r>
        <w:rPr>
          <w:rFonts w:asciiTheme="majorBidi" w:hAnsiTheme="majorBidi" w:cstheme="majorBidi"/>
          <w:sz w:val="24"/>
          <w:szCs w:val="24"/>
        </w:rPr>
        <w:t>Iman</w:t>
      </w:r>
      <w:proofErr w:type="spellEnd"/>
      <w:r>
        <w:rPr>
          <w:rFonts w:asciiTheme="majorBidi" w:hAnsiTheme="majorBidi" w:cstheme="majorBidi"/>
          <w:sz w:val="24"/>
          <w:szCs w:val="24"/>
        </w:rPr>
        <w:t xml:space="preserve"> Hasan, Hanan Hagar, </w:t>
      </w:r>
      <w:proofErr w:type="spellStart"/>
      <w:r w:rsidRPr="00A16AE8">
        <w:rPr>
          <w:rFonts w:asciiTheme="majorBidi" w:hAnsiTheme="majorBidi" w:cstheme="majorBidi"/>
          <w:b/>
          <w:bCs/>
          <w:sz w:val="24"/>
          <w:szCs w:val="24"/>
        </w:rPr>
        <w:t>Raeesa</w:t>
      </w:r>
      <w:proofErr w:type="spellEnd"/>
      <w:r w:rsidRPr="00A16AE8">
        <w:rPr>
          <w:rFonts w:asciiTheme="majorBidi" w:hAnsiTheme="majorBidi" w:cstheme="majorBidi"/>
          <w:b/>
          <w:bCs/>
          <w:sz w:val="24"/>
          <w:szCs w:val="24"/>
        </w:rPr>
        <w:t xml:space="preserve"> Ahmed</w:t>
      </w:r>
      <w:r>
        <w:rPr>
          <w:rFonts w:asciiTheme="majorBidi" w:hAnsiTheme="majorBidi" w:cstheme="majorBidi"/>
          <w:sz w:val="24"/>
          <w:szCs w:val="24"/>
        </w:rPr>
        <w:t xml:space="preserve">, Fatima M. B. </w:t>
      </w:r>
      <w:proofErr w:type="spellStart"/>
      <w:r>
        <w:rPr>
          <w:rFonts w:asciiTheme="majorBidi" w:hAnsiTheme="majorBidi" w:cstheme="majorBidi"/>
          <w:sz w:val="24"/>
          <w:szCs w:val="24"/>
        </w:rPr>
        <w:t>Alharbi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Alaa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AlHarthii</w:t>
      </w:r>
      <w:proofErr w:type="spellEnd"/>
      <w:r>
        <w:rPr>
          <w:rFonts w:asciiTheme="majorBidi" w:hAnsiTheme="majorBidi" w:cstheme="majorBidi"/>
          <w:sz w:val="24"/>
          <w:szCs w:val="24"/>
        </w:rPr>
        <w:t>:</w:t>
      </w:r>
    </w:p>
    <w:p w:rsidR="00A16AE8" w:rsidRDefault="009E4B61" w:rsidP="00A16AE8">
      <w:pPr>
        <w:bidi w:val="0"/>
        <w:spacing w:line="360" w:lineRule="auto"/>
        <w:rPr>
          <w:rFonts w:asciiTheme="majorBidi" w:hAnsiTheme="majorBidi" w:cstheme="majorBidi"/>
          <w:sz w:val="24"/>
          <w:szCs w:val="24"/>
        </w:rPr>
      </w:pPr>
      <w:r w:rsidRPr="00A16AE8">
        <w:rPr>
          <w:rFonts w:asciiTheme="majorBidi" w:hAnsiTheme="majorBidi" w:cstheme="majorBidi"/>
          <w:b/>
          <w:bCs/>
          <w:sz w:val="28"/>
          <w:szCs w:val="28"/>
        </w:rPr>
        <w:t xml:space="preserve"> Abstract</w:t>
      </w:r>
      <w:r w:rsidRPr="001102E8">
        <w:rPr>
          <w:rFonts w:asciiTheme="majorBidi" w:hAnsiTheme="majorBidi" w:cstheme="majorBidi"/>
          <w:sz w:val="24"/>
          <w:szCs w:val="24"/>
        </w:rPr>
        <w:t xml:space="preserve"> </w:t>
      </w:r>
    </w:p>
    <w:p w:rsidR="009E4B61" w:rsidRPr="001102E8" w:rsidRDefault="009E4B61" w:rsidP="00743ED6">
      <w:pPr>
        <w:bidi w:val="0"/>
        <w:spacing w:line="360" w:lineRule="auto"/>
        <w:jc w:val="both"/>
        <w:rPr>
          <w:rFonts w:asciiTheme="majorBidi" w:hAnsiTheme="majorBidi" w:cstheme="majorBidi"/>
          <w:sz w:val="24"/>
          <w:szCs w:val="24"/>
        </w:rPr>
      </w:pPr>
      <w:r w:rsidRPr="001102E8">
        <w:rPr>
          <w:rFonts w:asciiTheme="majorBidi" w:hAnsiTheme="majorBidi" w:cstheme="majorBidi"/>
          <w:sz w:val="24"/>
          <w:szCs w:val="24"/>
        </w:rPr>
        <w:t>Hypoxia may lead to inflammatory responses by numerous signaling pathways. This investigation intended to inspect the defensive role of Quercetin (</w:t>
      </w:r>
      <w:proofErr w:type="spellStart"/>
      <w:r w:rsidRPr="001102E8">
        <w:rPr>
          <w:rFonts w:asciiTheme="majorBidi" w:hAnsiTheme="majorBidi" w:cstheme="majorBidi"/>
          <w:sz w:val="24"/>
          <w:szCs w:val="24"/>
        </w:rPr>
        <w:t>Quer</w:t>
      </w:r>
      <w:proofErr w:type="spellEnd"/>
      <w:r w:rsidRPr="001102E8">
        <w:rPr>
          <w:rFonts w:asciiTheme="majorBidi" w:hAnsiTheme="majorBidi" w:cstheme="majorBidi"/>
          <w:sz w:val="24"/>
          <w:szCs w:val="24"/>
        </w:rPr>
        <w:t xml:space="preserve">) and/ or Melatonin (Mel) against </w:t>
      </w:r>
      <w:proofErr w:type="spellStart"/>
      <w:r w:rsidRPr="001102E8">
        <w:rPr>
          <w:rFonts w:asciiTheme="majorBidi" w:hAnsiTheme="majorBidi" w:cstheme="majorBidi"/>
          <w:sz w:val="24"/>
          <w:szCs w:val="24"/>
        </w:rPr>
        <w:t>reno</w:t>
      </w:r>
      <w:proofErr w:type="spellEnd"/>
      <w:r w:rsidRPr="001102E8">
        <w:rPr>
          <w:rFonts w:asciiTheme="majorBidi" w:hAnsiTheme="majorBidi" w:cstheme="majorBidi"/>
          <w:sz w:val="24"/>
          <w:szCs w:val="24"/>
        </w:rPr>
        <w:t xml:space="preserve"> toxicity induced by Sodium nitrite (Sod </w:t>
      </w:r>
      <w:proofErr w:type="spellStart"/>
      <w:r w:rsidRPr="001102E8">
        <w:rPr>
          <w:rFonts w:asciiTheme="majorBidi" w:hAnsiTheme="majorBidi" w:cstheme="majorBidi"/>
          <w:sz w:val="24"/>
          <w:szCs w:val="24"/>
        </w:rPr>
        <w:t>ntr</w:t>
      </w:r>
      <w:proofErr w:type="spellEnd"/>
      <w:r w:rsidRPr="001102E8">
        <w:rPr>
          <w:rFonts w:asciiTheme="majorBidi" w:hAnsiTheme="majorBidi" w:cstheme="majorBidi"/>
          <w:sz w:val="24"/>
          <w:szCs w:val="24"/>
        </w:rPr>
        <w:t xml:space="preserve">). Sod </w:t>
      </w:r>
      <w:proofErr w:type="spellStart"/>
      <w:r w:rsidRPr="001102E8">
        <w:rPr>
          <w:rFonts w:asciiTheme="majorBidi" w:hAnsiTheme="majorBidi" w:cstheme="majorBidi"/>
          <w:sz w:val="24"/>
          <w:szCs w:val="24"/>
        </w:rPr>
        <w:t>ntr</w:t>
      </w:r>
      <w:proofErr w:type="spellEnd"/>
      <w:r w:rsidRPr="001102E8">
        <w:rPr>
          <w:rFonts w:asciiTheme="majorBidi" w:hAnsiTheme="majorBidi" w:cstheme="majorBidi"/>
          <w:sz w:val="24"/>
          <w:szCs w:val="24"/>
        </w:rPr>
        <w:t xml:space="preserve"> injection significantly decreased blood hemoglobin concentration (</w:t>
      </w:r>
      <w:proofErr w:type="spellStart"/>
      <w:r w:rsidRPr="001102E8">
        <w:rPr>
          <w:rFonts w:asciiTheme="majorBidi" w:hAnsiTheme="majorBidi" w:cstheme="majorBidi"/>
          <w:sz w:val="24"/>
          <w:szCs w:val="24"/>
        </w:rPr>
        <w:t>Hb</w:t>
      </w:r>
      <w:proofErr w:type="spellEnd"/>
      <w:r w:rsidRPr="001102E8">
        <w:rPr>
          <w:rFonts w:asciiTheme="majorBidi" w:hAnsiTheme="majorBidi" w:cstheme="majorBidi"/>
          <w:sz w:val="24"/>
          <w:szCs w:val="24"/>
        </w:rPr>
        <w:t xml:space="preserve">) with a concurrent increase in serum tumor necrosis factor- a, interleukin-6, C-reactive protein, creatinine, and urea levels. Over protein-expression of vascular endothelial growth factor and heat shock, protein-70 and mRNA of HIF-1a were also observed. Pretreatment of the Sod </w:t>
      </w:r>
      <w:proofErr w:type="spellStart"/>
      <w:r w:rsidRPr="001102E8">
        <w:rPr>
          <w:rFonts w:asciiTheme="majorBidi" w:hAnsiTheme="majorBidi" w:cstheme="majorBidi"/>
          <w:sz w:val="24"/>
          <w:szCs w:val="24"/>
        </w:rPr>
        <w:t>ntr</w:t>
      </w:r>
      <w:proofErr w:type="spellEnd"/>
      <w:r w:rsidRPr="001102E8">
        <w:rPr>
          <w:rFonts w:asciiTheme="majorBidi" w:hAnsiTheme="majorBidi" w:cstheme="majorBidi"/>
          <w:sz w:val="24"/>
          <w:szCs w:val="24"/>
        </w:rPr>
        <w:t xml:space="preserve">- injected rats with the aforementioned antioxidants; either alone or together significantly improved such parameters. Histopathological examination reinforced the previous results. It was concluded that the combined administration of </w:t>
      </w:r>
      <w:proofErr w:type="spellStart"/>
      <w:r w:rsidRPr="001102E8">
        <w:rPr>
          <w:rFonts w:asciiTheme="majorBidi" w:hAnsiTheme="majorBidi" w:cstheme="majorBidi"/>
          <w:sz w:val="24"/>
          <w:szCs w:val="24"/>
        </w:rPr>
        <w:t>Quer</w:t>
      </w:r>
      <w:proofErr w:type="spellEnd"/>
      <w:r w:rsidRPr="001102E8">
        <w:rPr>
          <w:rFonts w:asciiTheme="majorBidi" w:hAnsiTheme="majorBidi" w:cstheme="majorBidi"/>
          <w:sz w:val="24"/>
          <w:szCs w:val="24"/>
        </w:rPr>
        <w:t xml:space="preserve"> and Mel may be useful as a potential therapy against renal injury induced by Sod </w:t>
      </w:r>
      <w:proofErr w:type="spellStart"/>
      <w:r w:rsidRPr="001102E8">
        <w:rPr>
          <w:rFonts w:asciiTheme="majorBidi" w:hAnsiTheme="majorBidi" w:cstheme="majorBidi"/>
          <w:sz w:val="24"/>
          <w:szCs w:val="24"/>
        </w:rPr>
        <w:t>ntr</w:t>
      </w:r>
      <w:proofErr w:type="spellEnd"/>
      <w:r w:rsidRPr="001102E8">
        <w:rPr>
          <w:rFonts w:asciiTheme="majorBidi" w:hAnsiTheme="majorBidi" w:cstheme="majorBidi"/>
          <w:sz w:val="24"/>
          <w:szCs w:val="24"/>
        </w:rPr>
        <w:t>. HIF-1a and HSP-70 are implicated in the induction of hypoxia and its treatment.</w:t>
      </w: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9E4B61" w:rsidP="001102E8">
      <w:pPr>
        <w:bidi w:val="0"/>
        <w:spacing w:line="360" w:lineRule="auto"/>
        <w:rPr>
          <w:rFonts w:asciiTheme="majorBidi" w:hAnsiTheme="majorBidi" w:cstheme="majorBidi"/>
          <w:sz w:val="24"/>
          <w:szCs w:val="24"/>
        </w:rPr>
      </w:pPr>
    </w:p>
    <w:p w:rsidR="009E4B61" w:rsidRPr="001102E8" w:rsidRDefault="00A16AE8" w:rsidP="00743ED6">
      <w:pPr>
        <w:bidi w:val="0"/>
        <w:spacing w:line="360" w:lineRule="auto"/>
        <w:jc w:val="center"/>
        <w:rPr>
          <w:rFonts w:asciiTheme="majorBidi" w:hAnsiTheme="majorBidi" w:cstheme="majorBidi"/>
          <w:sz w:val="24"/>
          <w:szCs w:val="24"/>
        </w:rPr>
      </w:pPr>
      <w:r w:rsidRPr="001102E8">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5</w:t>
      </w:r>
      <w:r w:rsidRPr="001102E8">
        <w:rPr>
          <w:rFonts w:asciiTheme="majorBidi" w:hAnsiTheme="majorBidi" w:cstheme="majorBidi"/>
          <w:b/>
          <w:bCs/>
          <w:sz w:val="28"/>
          <w:szCs w:val="28"/>
        </w:rPr>
        <w:t>-202</w:t>
      </w:r>
      <w:r>
        <w:rPr>
          <w:rFonts w:asciiTheme="majorBidi" w:hAnsiTheme="majorBidi" w:cstheme="majorBidi"/>
          <w:b/>
          <w:bCs/>
          <w:sz w:val="28"/>
          <w:szCs w:val="28"/>
        </w:rPr>
        <w:t>0</w:t>
      </w:r>
    </w:p>
    <w:p w:rsidR="00A16AE8" w:rsidRPr="00A16AE8" w:rsidRDefault="009E4B61" w:rsidP="001102E8">
      <w:pPr>
        <w:bidi w:val="0"/>
        <w:spacing w:line="360" w:lineRule="auto"/>
        <w:rPr>
          <w:rFonts w:asciiTheme="majorBidi" w:hAnsiTheme="majorBidi" w:cstheme="majorBidi"/>
          <w:b/>
          <w:bCs/>
          <w:sz w:val="28"/>
          <w:szCs w:val="28"/>
        </w:rPr>
      </w:pPr>
      <w:r w:rsidRPr="00A16AE8">
        <w:rPr>
          <w:rFonts w:asciiTheme="majorBidi" w:hAnsiTheme="majorBidi" w:cstheme="majorBidi"/>
          <w:b/>
          <w:bCs/>
          <w:sz w:val="28"/>
          <w:szCs w:val="28"/>
        </w:rPr>
        <w:t>Drug and Chemical Toxicology</w:t>
      </w:r>
      <w:r w:rsidR="001102E8" w:rsidRPr="00A16AE8">
        <w:rPr>
          <w:rFonts w:asciiTheme="majorBidi" w:hAnsiTheme="majorBidi" w:cstheme="majorBidi"/>
          <w:b/>
          <w:bCs/>
          <w:sz w:val="28"/>
          <w:szCs w:val="28"/>
        </w:rPr>
        <w:t>.</w:t>
      </w:r>
    </w:p>
    <w:p w:rsidR="009E4B61" w:rsidRPr="001102E8" w:rsidRDefault="001102E8" w:rsidP="00A16AE8">
      <w:pPr>
        <w:bidi w:val="0"/>
        <w:spacing w:line="360" w:lineRule="auto"/>
        <w:rPr>
          <w:rFonts w:asciiTheme="majorBidi" w:hAnsiTheme="majorBidi" w:cstheme="majorBidi"/>
          <w:sz w:val="24"/>
          <w:szCs w:val="24"/>
        </w:rPr>
      </w:pPr>
      <w:r w:rsidRPr="001102E8">
        <w:rPr>
          <w:rFonts w:asciiTheme="majorBidi" w:hAnsiTheme="majorBidi" w:cstheme="majorBidi"/>
          <w:sz w:val="24"/>
          <w:szCs w:val="24"/>
        </w:rPr>
        <w:t xml:space="preserve"> Received 10 May 2020 Revised 17 August 2020 Accepted 27 September 2020</w:t>
      </w:r>
    </w:p>
    <w:p w:rsidR="00A16AE8" w:rsidRDefault="009E4B61" w:rsidP="001102E8">
      <w:pPr>
        <w:bidi w:val="0"/>
        <w:spacing w:line="360" w:lineRule="auto"/>
        <w:rPr>
          <w:rFonts w:asciiTheme="majorBidi" w:hAnsiTheme="majorBidi" w:cstheme="majorBidi"/>
          <w:sz w:val="24"/>
          <w:szCs w:val="24"/>
        </w:rPr>
      </w:pPr>
      <w:r w:rsidRPr="00A16AE8">
        <w:rPr>
          <w:rFonts w:asciiTheme="majorBidi" w:hAnsiTheme="majorBidi" w:cstheme="majorBidi"/>
          <w:b/>
          <w:bCs/>
          <w:sz w:val="24"/>
          <w:szCs w:val="24"/>
        </w:rPr>
        <w:t xml:space="preserve">The beneficial effects of antioxidants combination on cardiac injury induced by </w:t>
      </w:r>
      <w:proofErr w:type="spellStart"/>
      <w:r w:rsidRPr="00A16AE8">
        <w:rPr>
          <w:rFonts w:asciiTheme="majorBidi" w:hAnsiTheme="majorBidi" w:cstheme="majorBidi"/>
          <w:b/>
          <w:bCs/>
          <w:sz w:val="24"/>
          <w:szCs w:val="24"/>
        </w:rPr>
        <w:t>tetrachloromethane</w:t>
      </w:r>
      <w:proofErr w:type="spellEnd"/>
    </w:p>
    <w:p w:rsidR="001102E8" w:rsidRPr="001102E8" w:rsidRDefault="009E4B61" w:rsidP="00743ED6">
      <w:pPr>
        <w:bidi w:val="0"/>
        <w:spacing w:line="360" w:lineRule="auto"/>
        <w:rPr>
          <w:rFonts w:asciiTheme="majorBidi" w:hAnsiTheme="majorBidi" w:cstheme="majorBidi"/>
          <w:sz w:val="24"/>
          <w:szCs w:val="24"/>
        </w:rPr>
      </w:pPr>
      <w:r w:rsidRPr="00A16AE8">
        <w:rPr>
          <w:rFonts w:asciiTheme="majorBidi" w:hAnsiTheme="majorBidi" w:cstheme="majorBidi"/>
          <w:sz w:val="24"/>
          <w:szCs w:val="24"/>
        </w:rPr>
        <w:t xml:space="preserve"> </w:t>
      </w:r>
      <w:proofErr w:type="spellStart"/>
      <w:r w:rsidR="00A16AE8">
        <w:rPr>
          <w:rFonts w:asciiTheme="majorBidi" w:hAnsiTheme="majorBidi" w:cstheme="majorBidi"/>
          <w:sz w:val="24"/>
          <w:szCs w:val="24"/>
        </w:rPr>
        <w:t>Aliah</w:t>
      </w:r>
      <w:proofErr w:type="spellEnd"/>
      <w:r w:rsidR="00A16AE8">
        <w:rPr>
          <w:rFonts w:asciiTheme="majorBidi" w:hAnsiTheme="majorBidi" w:cstheme="majorBidi"/>
          <w:sz w:val="24"/>
          <w:szCs w:val="24"/>
        </w:rPr>
        <w:t xml:space="preserve"> R. </w:t>
      </w:r>
      <w:proofErr w:type="spellStart"/>
      <w:r w:rsidR="00A16AE8">
        <w:rPr>
          <w:rFonts w:asciiTheme="majorBidi" w:hAnsiTheme="majorBidi" w:cstheme="majorBidi"/>
          <w:sz w:val="24"/>
          <w:szCs w:val="24"/>
        </w:rPr>
        <w:t>Alshanwani</w:t>
      </w:r>
      <w:proofErr w:type="spellEnd"/>
      <w:r w:rsidR="00743ED6">
        <w:rPr>
          <w:rFonts w:asciiTheme="majorBidi" w:hAnsiTheme="majorBidi" w:cstheme="majorBidi"/>
          <w:sz w:val="24"/>
          <w:szCs w:val="24"/>
        </w:rPr>
        <w:t xml:space="preserve"> , Laila M. </w:t>
      </w:r>
      <w:proofErr w:type="spellStart"/>
      <w:r w:rsidR="00743ED6">
        <w:rPr>
          <w:rFonts w:asciiTheme="majorBidi" w:hAnsiTheme="majorBidi" w:cstheme="majorBidi"/>
          <w:sz w:val="24"/>
          <w:szCs w:val="24"/>
        </w:rPr>
        <w:t>Faddah</w:t>
      </w:r>
      <w:proofErr w:type="spellEnd"/>
      <w:r w:rsidR="00743ED6">
        <w:rPr>
          <w:rFonts w:asciiTheme="majorBidi" w:hAnsiTheme="majorBidi" w:cstheme="majorBidi"/>
          <w:sz w:val="24"/>
          <w:szCs w:val="24"/>
        </w:rPr>
        <w:t xml:space="preserve"> , Hanan Hagar</w:t>
      </w:r>
      <w:r w:rsidRPr="001102E8">
        <w:rPr>
          <w:rFonts w:asciiTheme="majorBidi" w:hAnsiTheme="majorBidi" w:cstheme="majorBidi"/>
          <w:sz w:val="24"/>
          <w:szCs w:val="24"/>
        </w:rPr>
        <w:t xml:space="preserve"> , </w:t>
      </w:r>
      <w:proofErr w:type="spellStart"/>
      <w:r w:rsidRPr="001102E8">
        <w:rPr>
          <w:rFonts w:asciiTheme="majorBidi" w:hAnsiTheme="majorBidi" w:cstheme="majorBidi"/>
          <w:sz w:val="24"/>
          <w:szCs w:val="24"/>
        </w:rPr>
        <w:t>A</w:t>
      </w:r>
      <w:r w:rsidR="00743ED6">
        <w:rPr>
          <w:rFonts w:asciiTheme="majorBidi" w:hAnsiTheme="majorBidi" w:cstheme="majorBidi"/>
          <w:sz w:val="24"/>
          <w:szCs w:val="24"/>
        </w:rPr>
        <w:t>hlam</w:t>
      </w:r>
      <w:proofErr w:type="spellEnd"/>
      <w:r w:rsidR="00743ED6">
        <w:rPr>
          <w:rFonts w:asciiTheme="majorBidi" w:hAnsiTheme="majorBidi" w:cstheme="majorBidi"/>
          <w:sz w:val="24"/>
          <w:szCs w:val="24"/>
        </w:rPr>
        <w:t xml:space="preserve"> M. </w:t>
      </w:r>
      <w:proofErr w:type="spellStart"/>
      <w:r w:rsidR="00743ED6">
        <w:rPr>
          <w:rFonts w:asciiTheme="majorBidi" w:hAnsiTheme="majorBidi" w:cstheme="majorBidi"/>
          <w:sz w:val="24"/>
          <w:szCs w:val="24"/>
        </w:rPr>
        <w:t>Alhusaini</w:t>
      </w:r>
      <w:proofErr w:type="spellEnd"/>
      <w:r w:rsidR="00743ED6">
        <w:rPr>
          <w:rFonts w:asciiTheme="majorBidi" w:hAnsiTheme="majorBidi" w:cstheme="majorBidi"/>
          <w:sz w:val="24"/>
          <w:szCs w:val="24"/>
        </w:rPr>
        <w:t xml:space="preserve"> , Sameerah Shaheen</w:t>
      </w:r>
      <w:r w:rsidRPr="001102E8">
        <w:rPr>
          <w:rFonts w:asciiTheme="majorBidi" w:hAnsiTheme="majorBidi" w:cstheme="majorBidi"/>
          <w:sz w:val="24"/>
          <w:szCs w:val="24"/>
        </w:rPr>
        <w:t xml:space="preserve"> , </w:t>
      </w:r>
      <w:proofErr w:type="spellStart"/>
      <w:r w:rsidR="00A16AE8">
        <w:rPr>
          <w:rFonts w:asciiTheme="majorBidi" w:hAnsiTheme="majorBidi" w:cstheme="majorBidi"/>
          <w:b/>
          <w:bCs/>
          <w:sz w:val="24"/>
          <w:szCs w:val="24"/>
        </w:rPr>
        <w:t>Raeesa</w:t>
      </w:r>
      <w:proofErr w:type="spellEnd"/>
      <w:r w:rsidR="00A16AE8">
        <w:rPr>
          <w:rFonts w:asciiTheme="majorBidi" w:hAnsiTheme="majorBidi" w:cstheme="majorBidi"/>
          <w:b/>
          <w:bCs/>
          <w:sz w:val="24"/>
          <w:szCs w:val="24"/>
        </w:rPr>
        <w:t xml:space="preserve"> A. Mohammad</w:t>
      </w:r>
      <w:r w:rsidR="00743ED6">
        <w:rPr>
          <w:rFonts w:asciiTheme="majorBidi" w:hAnsiTheme="majorBidi" w:cstheme="majorBidi"/>
          <w:sz w:val="24"/>
          <w:szCs w:val="24"/>
        </w:rPr>
        <w:t xml:space="preserve"> , Fatima M. B. </w:t>
      </w:r>
      <w:proofErr w:type="spellStart"/>
      <w:r w:rsidR="00743ED6">
        <w:rPr>
          <w:rFonts w:asciiTheme="majorBidi" w:hAnsiTheme="majorBidi" w:cstheme="majorBidi"/>
          <w:sz w:val="24"/>
          <w:szCs w:val="24"/>
        </w:rPr>
        <w:t>Alharbi</w:t>
      </w:r>
      <w:proofErr w:type="spellEnd"/>
      <w:r w:rsidRPr="001102E8">
        <w:rPr>
          <w:rFonts w:asciiTheme="majorBidi" w:hAnsiTheme="majorBidi" w:cstheme="majorBidi"/>
          <w:sz w:val="24"/>
          <w:szCs w:val="24"/>
        </w:rPr>
        <w:t xml:space="preserve"> , </w:t>
      </w:r>
      <w:proofErr w:type="spellStart"/>
      <w:r w:rsidRPr="001102E8">
        <w:rPr>
          <w:rFonts w:asciiTheme="majorBidi" w:hAnsiTheme="majorBidi" w:cstheme="majorBidi"/>
          <w:sz w:val="24"/>
          <w:szCs w:val="24"/>
        </w:rPr>
        <w:t>Alaa</w:t>
      </w:r>
      <w:proofErr w:type="spellEnd"/>
      <w:r w:rsidRPr="001102E8">
        <w:rPr>
          <w:rFonts w:asciiTheme="majorBidi" w:hAnsiTheme="majorBidi" w:cstheme="majorBidi"/>
          <w:sz w:val="24"/>
          <w:szCs w:val="24"/>
        </w:rPr>
        <w:t xml:space="preserve"> </w:t>
      </w:r>
      <w:proofErr w:type="spellStart"/>
      <w:r w:rsidRPr="001102E8">
        <w:rPr>
          <w:rFonts w:asciiTheme="majorBidi" w:hAnsiTheme="majorBidi" w:cstheme="majorBidi"/>
          <w:sz w:val="24"/>
          <w:szCs w:val="24"/>
        </w:rPr>
        <w:t>A</w:t>
      </w:r>
      <w:r w:rsidR="00743ED6">
        <w:rPr>
          <w:rFonts w:asciiTheme="majorBidi" w:hAnsiTheme="majorBidi" w:cstheme="majorBidi"/>
          <w:sz w:val="24"/>
          <w:szCs w:val="24"/>
        </w:rPr>
        <w:t>lHarthii</w:t>
      </w:r>
      <w:proofErr w:type="spellEnd"/>
      <w:r w:rsidR="00743ED6">
        <w:rPr>
          <w:rFonts w:asciiTheme="majorBidi" w:hAnsiTheme="majorBidi" w:cstheme="majorBidi"/>
          <w:sz w:val="24"/>
          <w:szCs w:val="24"/>
        </w:rPr>
        <w:t xml:space="preserve"> and Amira M. </w:t>
      </w:r>
      <w:proofErr w:type="spellStart"/>
      <w:r w:rsidR="00743ED6">
        <w:rPr>
          <w:rFonts w:asciiTheme="majorBidi" w:hAnsiTheme="majorBidi" w:cstheme="majorBidi"/>
          <w:sz w:val="24"/>
          <w:szCs w:val="24"/>
        </w:rPr>
        <w:t>Badr</w:t>
      </w:r>
      <w:proofErr w:type="spellEnd"/>
      <w:r w:rsidR="00743ED6">
        <w:rPr>
          <w:rFonts w:asciiTheme="majorBidi" w:hAnsiTheme="majorBidi" w:cstheme="majorBidi"/>
          <w:sz w:val="24"/>
          <w:szCs w:val="24"/>
        </w:rPr>
        <w:t>.</w:t>
      </w:r>
    </w:p>
    <w:p w:rsidR="00743ED6" w:rsidRDefault="009E4B61" w:rsidP="00743ED6">
      <w:pPr>
        <w:bidi w:val="0"/>
        <w:spacing w:line="360" w:lineRule="auto"/>
        <w:rPr>
          <w:rFonts w:asciiTheme="majorBidi" w:hAnsiTheme="majorBidi" w:cstheme="majorBidi"/>
          <w:sz w:val="24"/>
          <w:szCs w:val="24"/>
        </w:rPr>
      </w:pPr>
      <w:r w:rsidRPr="001102E8">
        <w:rPr>
          <w:rFonts w:asciiTheme="majorBidi" w:hAnsiTheme="majorBidi" w:cstheme="majorBidi"/>
          <w:sz w:val="24"/>
          <w:szCs w:val="24"/>
        </w:rPr>
        <w:t xml:space="preserve"> </w:t>
      </w:r>
      <w:r w:rsidRPr="00743ED6">
        <w:rPr>
          <w:rFonts w:asciiTheme="majorBidi" w:hAnsiTheme="majorBidi" w:cstheme="majorBidi"/>
          <w:b/>
          <w:bCs/>
          <w:sz w:val="24"/>
          <w:szCs w:val="24"/>
        </w:rPr>
        <w:t>ABSTRACT</w:t>
      </w:r>
      <w:r w:rsidRPr="001102E8">
        <w:rPr>
          <w:rFonts w:asciiTheme="majorBidi" w:hAnsiTheme="majorBidi" w:cstheme="majorBidi"/>
          <w:sz w:val="24"/>
          <w:szCs w:val="24"/>
        </w:rPr>
        <w:t xml:space="preserve"> </w:t>
      </w:r>
    </w:p>
    <w:p w:rsidR="009E4B61" w:rsidRPr="001102E8" w:rsidRDefault="009E4B61" w:rsidP="00743ED6">
      <w:pPr>
        <w:bidi w:val="0"/>
        <w:spacing w:line="360" w:lineRule="auto"/>
        <w:jc w:val="both"/>
        <w:rPr>
          <w:rFonts w:asciiTheme="majorBidi" w:hAnsiTheme="majorBidi" w:cstheme="majorBidi"/>
          <w:sz w:val="24"/>
          <w:szCs w:val="24"/>
        </w:rPr>
      </w:pPr>
      <w:r w:rsidRPr="001102E8">
        <w:rPr>
          <w:rFonts w:asciiTheme="majorBidi" w:hAnsiTheme="majorBidi" w:cstheme="majorBidi"/>
          <w:sz w:val="24"/>
          <w:szCs w:val="24"/>
        </w:rPr>
        <w:t xml:space="preserve">The purpose of this research was to evaluate the efficacy of </w:t>
      </w:r>
      <w:proofErr w:type="spellStart"/>
      <w:r w:rsidRPr="001102E8">
        <w:rPr>
          <w:rFonts w:asciiTheme="majorBidi" w:hAnsiTheme="majorBidi" w:cstheme="majorBidi"/>
          <w:sz w:val="24"/>
          <w:szCs w:val="24"/>
        </w:rPr>
        <w:t>carsil</w:t>
      </w:r>
      <w:proofErr w:type="spellEnd"/>
      <w:r w:rsidRPr="001102E8">
        <w:rPr>
          <w:rFonts w:asciiTheme="majorBidi" w:hAnsiTheme="majorBidi" w:cstheme="majorBidi"/>
          <w:sz w:val="24"/>
          <w:szCs w:val="24"/>
        </w:rPr>
        <w:t xml:space="preserve"> (CAR) either alone or in combination with a-tocopherol (a-TOCO) and/or turmeric (TUMR) against </w:t>
      </w:r>
      <w:proofErr w:type="spellStart"/>
      <w:r w:rsidRPr="001102E8">
        <w:rPr>
          <w:rFonts w:asciiTheme="majorBidi" w:hAnsiTheme="majorBidi" w:cstheme="majorBidi"/>
          <w:sz w:val="24"/>
          <w:szCs w:val="24"/>
        </w:rPr>
        <w:t>tetrachloromethane</w:t>
      </w:r>
      <w:proofErr w:type="spellEnd"/>
      <w:r w:rsidRPr="001102E8">
        <w:rPr>
          <w:rFonts w:asciiTheme="majorBidi" w:hAnsiTheme="majorBidi" w:cstheme="majorBidi"/>
          <w:sz w:val="24"/>
          <w:szCs w:val="24"/>
        </w:rPr>
        <w:t xml:space="preserve"> (TCM)-induced </w:t>
      </w:r>
      <w:proofErr w:type="spellStart"/>
      <w:r w:rsidRPr="001102E8">
        <w:rPr>
          <w:rFonts w:asciiTheme="majorBidi" w:hAnsiTheme="majorBidi" w:cstheme="majorBidi"/>
          <w:sz w:val="24"/>
          <w:szCs w:val="24"/>
        </w:rPr>
        <w:t>cardiomyocyte</w:t>
      </w:r>
      <w:proofErr w:type="spellEnd"/>
      <w:r w:rsidRPr="001102E8">
        <w:rPr>
          <w:rFonts w:asciiTheme="majorBidi" w:hAnsiTheme="majorBidi" w:cstheme="majorBidi"/>
          <w:sz w:val="24"/>
          <w:szCs w:val="24"/>
        </w:rPr>
        <w:t xml:space="preserve"> injury in rats. Administration of CAR either alone or in combination with a-TOCO and/or TUMR post-TCM injection, significantly mitigated the increases in serum troponin T, </w:t>
      </w:r>
      <w:proofErr w:type="spellStart"/>
      <w:r w:rsidRPr="001102E8">
        <w:rPr>
          <w:rFonts w:asciiTheme="majorBidi" w:hAnsiTheme="majorBidi" w:cstheme="majorBidi"/>
          <w:sz w:val="24"/>
          <w:szCs w:val="24"/>
        </w:rPr>
        <w:t>creatine</w:t>
      </w:r>
      <w:proofErr w:type="spellEnd"/>
      <w:r w:rsidRPr="001102E8">
        <w:rPr>
          <w:rFonts w:asciiTheme="majorBidi" w:hAnsiTheme="majorBidi" w:cstheme="majorBidi"/>
          <w:sz w:val="24"/>
          <w:szCs w:val="24"/>
        </w:rPr>
        <w:t xml:space="preserve"> kinase-MB (CK-MB) as well as interleukin-6 (IL-6), interferon c (IFN-c), tumor necrosis factor-a (TNF-a), C-reactive protein (CRP). They also decline the elevation of caspase-3, vascular endothelial growth factor (VEGF) protein expression as well as DNA damage in cardiac tissues induced by TCM. The biochemical results were confirmed by histopathological investigation. Conclusion: The combination of the three antioxidants showed greater </w:t>
      </w:r>
      <w:proofErr w:type="spellStart"/>
      <w:r w:rsidRPr="001102E8">
        <w:rPr>
          <w:rFonts w:asciiTheme="majorBidi" w:hAnsiTheme="majorBidi" w:cstheme="majorBidi"/>
          <w:sz w:val="24"/>
          <w:szCs w:val="24"/>
        </w:rPr>
        <w:t>cardioprotective</w:t>
      </w:r>
      <w:proofErr w:type="spellEnd"/>
      <w:r w:rsidRPr="001102E8">
        <w:rPr>
          <w:rFonts w:asciiTheme="majorBidi" w:hAnsiTheme="majorBidi" w:cstheme="majorBidi"/>
          <w:sz w:val="24"/>
          <w:szCs w:val="24"/>
        </w:rPr>
        <w:t xml:space="preserve"> potential, compared to individual drugs. Therefore, this combination may be recommended as a complementary therapy to antagonize cardiac injury induced by different insults.</w:t>
      </w:r>
    </w:p>
    <w:p w:rsidR="001102E8" w:rsidRPr="001102E8" w:rsidRDefault="001102E8" w:rsidP="001102E8">
      <w:pPr>
        <w:bidi w:val="0"/>
        <w:spacing w:line="360" w:lineRule="auto"/>
        <w:rPr>
          <w:rFonts w:asciiTheme="majorBidi" w:hAnsiTheme="majorBidi" w:cstheme="majorBidi"/>
          <w:sz w:val="24"/>
          <w:szCs w:val="24"/>
        </w:rPr>
      </w:pPr>
    </w:p>
    <w:p w:rsidR="001102E8" w:rsidRPr="001102E8" w:rsidRDefault="001102E8" w:rsidP="001102E8">
      <w:pPr>
        <w:bidi w:val="0"/>
        <w:spacing w:line="360" w:lineRule="auto"/>
        <w:rPr>
          <w:rFonts w:asciiTheme="majorBidi" w:hAnsiTheme="majorBidi" w:cstheme="majorBidi"/>
          <w:sz w:val="24"/>
          <w:szCs w:val="24"/>
        </w:rPr>
      </w:pPr>
    </w:p>
    <w:p w:rsidR="001102E8" w:rsidRPr="001102E8" w:rsidRDefault="001102E8" w:rsidP="001102E8">
      <w:pPr>
        <w:bidi w:val="0"/>
        <w:spacing w:line="360" w:lineRule="auto"/>
        <w:rPr>
          <w:rFonts w:asciiTheme="majorBidi" w:hAnsiTheme="majorBidi" w:cstheme="majorBidi"/>
          <w:sz w:val="24"/>
          <w:szCs w:val="24"/>
        </w:rPr>
      </w:pPr>
    </w:p>
    <w:p w:rsidR="00743ED6" w:rsidRDefault="00743ED6" w:rsidP="00743ED6">
      <w:pPr>
        <w:bidi w:val="0"/>
        <w:spacing w:line="360" w:lineRule="auto"/>
        <w:rPr>
          <w:rFonts w:asciiTheme="majorBidi" w:hAnsiTheme="majorBidi" w:cstheme="majorBidi"/>
          <w:sz w:val="24"/>
          <w:szCs w:val="24"/>
        </w:rPr>
      </w:pPr>
    </w:p>
    <w:p w:rsidR="00743ED6" w:rsidRDefault="00743ED6" w:rsidP="00743ED6">
      <w:pPr>
        <w:bidi w:val="0"/>
        <w:spacing w:line="360" w:lineRule="auto"/>
        <w:rPr>
          <w:rFonts w:asciiTheme="majorBidi" w:hAnsiTheme="majorBidi" w:cstheme="majorBidi"/>
          <w:sz w:val="24"/>
          <w:szCs w:val="24"/>
        </w:rPr>
      </w:pPr>
    </w:p>
    <w:p w:rsidR="001102E8" w:rsidRPr="001102E8" w:rsidRDefault="00743ED6" w:rsidP="00743ED6">
      <w:pPr>
        <w:bidi w:val="0"/>
        <w:spacing w:line="360" w:lineRule="auto"/>
        <w:jc w:val="center"/>
        <w:rPr>
          <w:rFonts w:asciiTheme="majorBidi" w:hAnsiTheme="majorBidi" w:cstheme="majorBidi"/>
          <w:sz w:val="24"/>
          <w:szCs w:val="24"/>
        </w:rPr>
      </w:pPr>
      <w:r w:rsidRPr="001102E8">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6</w:t>
      </w:r>
      <w:r w:rsidRPr="001102E8">
        <w:rPr>
          <w:rFonts w:asciiTheme="majorBidi" w:hAnsiTheme="majorBidi" w:cstheme="majorBidi"/>
          <w:b/>
          <w:bCs/>
          <w:sz w:val="28"/>
          <w:szCs w:val="28"/>
        </w:rPr>
        <w:t>-202</w:t>
      </w:r>
      <w:r>
        <w:rPr>
          <w:rFonts w:asciiTheme="majorBidi" w:hAnsiTheme="majorBidi" w:cstheme="majorBidi"/>
          <w:b/>
          <w:bCs/>
          <w:sz w:val="28"/>
          <w:szCs w:val="28"/>
        </w:rPr>
        <w:t>0</w:t>
      </w:r>
    </w:p>
    <w:p w:rsidR="001102E8" w:rsidRPr="00743ED6" w:rsidRDefault="001102E8" w:rsidP="001102E8">
      <w:pPr>
        <w:shd w:val="clear" w:color="auto" w:fill="FFFFFF"/>
        <w:bidi w:val="0"/>
        <w:spacing w:before="120" w:after="120" w:line="360" w:lineRule="auto"/>
        <w:outlineLvl w:val="0"/>
        <w:rPr>
          <w:rFonts w:asciiTheme="majorBidi" w:hAnsiTheme="majorBidi" w:cstheme="majorBidi"/>
          <w:b/>
          <w:bCs/>
          <w:sz w:val="28"/>
          <w:szCs w:val="28"/>
        </w:rPr>
      </w:pPr>
      <w:r w:rsidRPr="00743ED6">
        <w:rPr>
          <w:rFonts w:asciiTheme="majorBidi" w:hAnsiTheme="majorBidi" w:cstheme="majorBidi"/>
          <w:b/>
          <w:bCs/>
          <w:sz w:val="28"/>
          <w:szCs w:val="28"/>
        </w:rPr>
        <w:t>Journal of Biochemical and Molecular Toxicology</w:t>
      </w:r>
    </w:p>
    <w:p w:rsidR="001102E8" w:rsidRPr="001102E8" w:rsidRDefault="001102E8" w:rsidP="001102E8">
      <w:pPr>
        <w:shd w:val="clear" w:color="auto" w:fill="FFFFFF"/>
        <w:bidi w:val="0"/>
        <w:spacing w:before="120" w:after="120" w:line="360" w:lineRule="auto"/>
        <w:outlineLvl w:val="0"/>
        <w:rPr>
          <w:rFonts w:asciiTheme="majorBidi" w:eastAsia="Times New Roman" w:hAnsiTheme="majorBidi" w:cstheme="majorBidi"/>
          <w:b/>
          <w:bCs/>
          <w:color w:val="1C1D1E"/>
          <w:kern w:val="36"/>
          <w:sz w:val="24"/>
          <w:szCs w:val="24"/>
        </w:rPr>
      </w:pPr>
      <w:r w:rsidRPr="001102E8">
        <w:rPr>
          <w:rFonts w:asciiTheme="majorBidi" w:eastAsia="Times New Roman" w:hAnsiTheme="majorBidi" w:cstheme="majorBidi"/>
          <w:b/>
          <w:bCs/>
          <w:color w:val="1C1D1E"/>
          <w:kern w:val="36"/>
          <w:sz w:val="24"/>
          <w:szCs w:val="24"/>
        </w:rPr>
        <w:t xml:space="preserve">Biotin, coenzyme Q10, and their combination ameliorate </w:t>
      </w:r>
      <w:proofErr w:type="spellStart"/>
      <w:r w:rsidRPr="001102E8">
        <w:rPr>
          <w:rFonts w:asciiTheme="majorBidi" w:eastAsia="Times New Roman" w:hAnsiTheme="majorBidi" w:cstheme="majorBidi"/>
          <w:b/>
          <w:bCs/>
          <w:color w:val="1C1D1E"/>
          <w:kern w:val="36"/>
          <w:sz w:val="24"/>
          <w:szCs w:val="24"/>
        </w:rPr>
        <w:t>aluminium</w:t>
      </w:r>
      <w:proofErr w:type="spellEnd"/>
      <w:r w:rsidRPr="001102E8">
        <w:rPr>
          <w:rFonts w:asciiTheme="majorBidi" w:eastAsia="Times New Roman" w:hAnsiTheme="majorBidi" w:cstheme="majorBidi"/>
          <w:b/>
          <w:bCs/>
          <w:color w:val="1C1D1E"/>
          <w:kern w:val="36"/>
          <w:sz w:val="24"/>
          <w:szCs w:val="24"/>
        </w:rPr>
        <w:t xml:space="preserve"> chloride-induced Alzheimer's disease via attenuating </w:t>
      </w:r>
      <w:proofErr w:type="spellStart"/>
      <w:r w:rsidRPr="001102E8">
        <w:rPr>
          <w:rFonts w:asciiTheme="majorBidi" w:eastAsia="Times New Roman" w:hAnsiTheme="majorBidi" w:cstheme="majorBidi"/>
          <w:b/>
          <w:bCs/>
          <w:color w:val="1C1D1E"/>
          <w:kern w:val="36"/>
          <w:sz w:val="24"/>
          <w:szCs w:val="24"/>
        </w:rPr>
        <w:t>neuroinflammation</w:t>
      </w:r>
      <w:proofErr w:type="spellEnd"/>
      <w:r w:rsidRPr="001102E8">
        <w:rPr>
          <w:rFonts w:asciiTheme="majorBidi" w:eastAsia="Times New Roman" w:hAnsiTheme="majorBidi" w:cstheme="majorBidi"/>
          <w:b/>
          <w:bCs/>
          <w:color w:val="1C1D1E"/>
          <w:kern w:val="36"/>
          <w:sz w:val="24"/>
          <w:szCs w:val="24"/>
        </w:rPr>
        <w:t xml:space="preserve"> and improving brain insulin signaling</w:t>
      </w:r>
      <w:r w:rsidR="00743ED6">
        <w:rPr>
          <w:rFonts w:asciiTheme="majorBidi" w:eastAsia="Times New Roman" w:hAnsiTheme="majorBidi" w:cstheme="majorBidi"/>
          <w:b/>
          <w:bCs/>
          <w:color w:val="1C1D1E"/>
          <w:kern w:val="36"/>
          <w:sz w:val="24"/>
          <w:szCs w:val="24"/>
        </w:rPr>
        <w:t>.</w:t>
      </w:r>
    </w:p>
    <w:p w:rsidR="001102E8" w:rsidRPr="001102E8" w:rsidRDefault="00F359FA" w:rsidP="00743ED6">
      <w:pPr>
        <w:shd w:val="clear" w:color="auto" w:fill="FFFFFF"/>
        <w:bidi w:val="0"/>
        <w:spacing w:line="360" w:lineRule="auto"/>
        <w:rPr>
          <w:rFonts w:asciiTheme="majorBidi" w:eastAsia="Times New Roman" w:hAnsiTheme="majorBidi" w:cstheme="majorBidi"/>
          <w:sz w:val="24"/>
          <w:szCs w:val="24"/>
        </w:rPr>
      </w:pPr>
      <w:hyperlink r:id="rId4" w:history="1">
        <w:proofErr w:type="spellStart"/>
        <w:r w:rsidR="001102E8" w:rsidRPr="00743ED6">
          <w:rPr>
            <w:rFonts w:asciiTheme="majorBidi" w:eastAsia="Times New Roman" w:hAnsiTheme="majorBidi" w:cstheme="majorBidi"/>
            <w:sz w:val="24"/>
            <w:szCs w:val="24"/>
            <w:bdr w:val="none" w:sz="0" w:space="0" w:color="auto" w:frame="1"/>
          </w:rPr>
          <w:t>Hala</w:t>
        </w:r>
        <w:proofErr w:type="spellEnd"/>
        <w:r w:rsidR="001102E8" w:rsidRPr="00743ED6">
          <w:rPr>
            <w:rFonts w:asciiTheme="majorBidi" w:eastAsia="Times New Roman" w:hAnsiTheme="majorBidi" w:cstheme="majorBidi"/>
            <w:sz w:val="24"/>
            <w:szCs w:val="24"/>
            <w:bdr w:val="none" w:sz="0" w:space="0" w:color="auto" w:frame="1"/>
          </w:rPr>
          <w:t xml:space="preserve"> </w:t>
        </w:r>
        <w:proofErr w:type="spellStart"/>
        <w:r w:rsidR="001102E8" w:rsidRPr="00743ED6">
          <w:rPr>
            <w:rFonts w:asciiTheme="majorBidi" w:eastAsia="Times New Roman" w:hAnsiTheme="majorBidi" w:cstheme="majorBidi"/>
            <w:sz w:val="24"/>
            <w:szCs w:val="24"/>
            <w:bdr w:val="none" w:sz="0" w:space="0" w:color="auto" w:frame="1"/>
          </w:rPr>
          <w:t>Attia</w:t>
        </w:r>
      </w:hyperlink>
      <w:r w:rsidR="001102E8" w:rsidRPr="00743ED6">
        <w:rPr>
          <w:rFonts w:asciiTheme="majorBidi" w:eastAsia="Times New Roman" w:hAnsiTheme="majorBidi" w:cstheme="majorBidi"/>
          <w:sz w:val="24"/>
          <w:szCs w:val="24"/>
          <w:bdr w:val="none" w:sz="0" w:space="0" w:color="auto" w:frame="1"/>
        </w:rPr>
        <w:t>,</w:t>
      </w:r>
      <w:hyperlink r:id="rId5" w:history="1">
        <w:r w:rsidR="001102E8" w:rsidRPr="00743ED6">
          <w:rPr>
            <w:rFonts w:asciiTheme="majorBidi" w:eastAsia="Times New Roman" w:hAnsiTheme="majorBidi" w:cstheme="majorBidi"/>
            <w:sz w:val="24"/>
            <w:szCs w:val="24"/>
            <w:bdr w:val="none" w:sz="0" w:space="0" w:color="auto" w:frame="1"/>
          </w:rPr>
          <w:t>Shaykhah</w:t>
        </w:r>
        <w:proofErr w:type="spellEnd"/>
        <w:r w:rsidR="001102E8" w:rsidRPr="00743ED6">
          <w:rPr>
            <w:rFonts w:asciiTheme="majorBidi" w:eastAsia="Times New Roman" w:hAnsiTheme="majorBidi" w:cstheme="majorBidi"/>
            <w:sz w:val="24"/>
            <w:szCs w:val="24"/>
            <w:bdr w:val="none" w:sz="0" w:space="0" w:color="auto" w:frame="1"/>
          </w:rPr>
          <w:t xml:space="preserve"> </w:t>
        </w:r>
        <w:proofErr w:type="spellStart"/>
        <w:r w:rsidR="001102E8" w:rsidRPr="00743ED6">
          <w:rPr>
            <w:rFonts w:asciiTheme="majorBidi" w:eastAsia="Times New Roman" w:hAnsiTheme="majorBidi" w:cstheme="majorBidi"/>
            <w:sz w:val="24"/>
            <w:szCs w:val="24"/>
            <w:bdr w:val="none" w:sz="0" w:space="0" w:color="auto" w:frame="1"/>
          </w:rPr>
          <w:t>Albuhayri</w:t>
        </w:r>
      </w:hyperlink>
      <w:r w:rsidR="001102E8" w:rsidRPr="00743ED6">
        <w:rPr>
          <w:rFonts w:asciiTheme="majorBidi" w:eastAsia="Times New Roman" w:hAnsiTheme="majorBidi" w:cstheme="majorBidi"/>
          <w:sz w:val="24"/>
          <w:szCs w:val="24"/>
          <w:bdr w:val="none" w:sz="0" w:space="0" w:color="auto" w:frame="1"/>
        </w:rPr>
        <w:t>,</w:t>
      </w:r>
      <w:hyperlink r:id="rId6" w:history="1">
        <w:r w:rsidR="001102E8" w:rsidRPr="00743ED6">
          <w:rPr>
            <w:rFonts w:asciiTheme="majorBidi" w:eastAsia="Times New Roman" w:hAnsiTheme="majorBidi" w:cstheme="majorBidi"/>
            <w:sz w:val="24"/>
            <w:szCs w:val="24"/>
            <w:bdr w:val="none" w:sz="0" w:space="0" w:color="auto" w:frame="1"/>
          </w:rPr>
          <w:t>Sadeem</w:t>
        </w:r>
        <w:proofErr w:type="spellEnd"/>
        <w:r w:rsidR="001102E8" w:rsidRPr="00743ED6">
          <w:rPr>
            <w:rFonts w:asciiTheme="majorBidi" w:eastAsia="Times New Roman" w:hAnsiTheme="majorBidi" w:cstheme="majorBidi"/>
            <w:sz w:val="24"/>
            <w:szCs w:val="24"/>
            <w:bdr w:val="none" w:sz="0" w:space="0" w:color="auto" w:frame="1"/>
          </w:rPr>
          <w:t xml:space="preserve"> </w:t>
        </w:r>
        <w:proofErr w:type="spellStart"/>
        <w:r w:rsidR="001102E8" w:rsidRPr="00743ED6">
          <w:rPr>
            <w:rFonts w:asciiTheme="majorBidi" w:eastAsia="Times New Roman" w:hAnsiTheme="majorBidi" w:cstheme="majorBidi"/>
            <w:sz w:val="24"/>
            <w:szCs w:val="24"/>
            <w:bdr w:val="none" w:sz="0" w:space="0" w:color="auto" w:frame="1"/>
          </w:rPr>
          <w:t>Alaraidh</w:t>
        </w:r>
      </w:hyperlink>
      <w:r w:rsidR="001102E8" w:rsidRPr="00743ED6">
        <w:rPr>
          <w:rFonts w:asciiTheme="majorBidi" w:eastAsia="Times New Roman" w:hAnsiTheme="majorBidi" w:cstheme="majorBidi"/>
          <w:sz w:val="24"/>
          <w:szCs w:val="24"/>
          <w:bdr w:val="none" w:sz="0" w:space="0" w:color="auto" w:frame="1"/>
        </w:rPr>
        <w:t>,</w:t>
      </w:r>
      <w:hyperlink r:id="rId7" w:history="1">
        <w:r w:rsidR="001102E8" w:rsidRPr="00743ED6">
          <w:rPr>
            <w:rFonts w:asciiTheme="majorBidi" w:eastAsia="Times New Roman" w:hAnsiTheme="majorBidi" w:cstheme="majorBidi"/>
            <w:sz w:val="24"/>
            <w:szCs w:val="24"/>
            <w:bdr w:val="none" w:sz="0" w:space="0" w:color="auto" w:frame="1"/>
          </w:rPr>
          <w:t>Amirah</w:t>
        </w:r>
        <w:proofErr w:type="spellEnd"/>
        <w:r w:rsidR="001102E8" w:rsidRPr="00743ED6">
          <w:rPr>
            <w:rFonts w:asciiTheme="majorBidi" w:eastAsia="Times New Roman" w:hAnsiTheme="majorBidi" w:cstheme="majorBidi"/>
            <w:sz w:val="24"/>
            <w:szCs w:val="24"/>
            <w:bdr w:val="none" w:sz="0" w:space="0" w:color="auto" w:frame="1"/>
          </w:rPr>
          <w:t xml:space="preserve"> </w:t>
        </w:r>
        <w:proofErr w:type="spellStart"/>
        <w:r w:rsidR="001102E8" w:rsidRPr="00743ED6">
          <w:rPr>
            <w:rFonts w:asciiTheme="majorBidi" w:eastAsia="Times New Roman" w:hAnsiTheme="majorBidi" w:cstheme="majorBidi"/>
            <w:sz w:val="24"/>
            <w:szCs w:val="24"/>
            <w:bdr w:val="none" w:sz="0" w:space="0" w:color="auto" w:frame="1"/>
          </w:rPr>
          <w:t>Alotaibi</w:t>
        </w:r>
      </w:hyperlink>
      <w:r w:rsidR="001102E8" w:rsidRPr="00743ED6">
        <w:rPr>
          <w:rFonts w:asciiTheme="majorBidi" w:eastAsia="Times New Roman" w:hAnsiTheme="majorBidi" w:cstheme="majorBidi"/>
          <w:sz w:val="24"/>
          <w:szCs w:val="24"/>
          <w:bdr w:val="none" w:sz="0" w:space="0" w:color="auto" w:frame="1"/>
        </w:rPr>
        <w:t>,</w:t>
      </w:r>
      <w:hyperlink r:id="rId8" w:history="1">
        <w:r w:rsidR="001102E8" w:rsidRPr="00743ED6">
          <w:rPr>
            <w:rFonts w:asciiTheme="majorBidi" w:eastAsia="Times New Roman" w:hAnsiTheme="majorBidi" w:cstheme="majorBidi"/>
            <w:sz w:val="24"/>
            <w:szCs w:val="24"/>
            <w:bdr w:val="none" w:sz="0" w:space="0" w:color="auto" w:frame="1"/>
          </w:rPr>
          <w:t>Hazar</w:t>
        </w:r>
        <w:proofErr w:type="spellEnd"/>
        <w:r w:rsidR="00743ED6">
          <w:rPr>
            <w:rFonts w:asciiTheme="majorBidi" w:eastAsia="Times New Roman" w:hAnsiTheme="majorBidi" w:cstheme="majorBidi"/>
            <w:sz w:val="24"/>
            <w:szCs w:val="24"/>
            <w:bdr w:val="none" w:sz="0" w:space="0" w:color="auto" w:frame="1"/>
          </w:rPr>
          <w:t xml:space="preserve"> </w:t>
        </w:r>
        <w:proofErr w:type="spellStart"/>
        <w:r w:rsidR="001102E8" w:rsidRPr="00743ED6">
          <w:rPr>
            <w:rFonts w:asciiTheme="majorBidi" w:eastAsia="Times New Roman" w:hAnsiTheme="majorBidi" w:cstheme="majorBidi"/>
            <w:sz w:val="24"/>
            <w:szCs w:val="24"/>
            <w:bdr w:val="none" w:sz="0" w:space="0" w:color="auto" w:frame="1"/>
          </w:rPr>
          <w:t>Yacoub</w:t>
        </w:r>
      </w:hyperlink>
      <w:r w:rsidR="001102E8" w:rsidRPr="00743ED6">
        <w:rPr>
          <w:rFonts w:asciiTheme="majorBidi" w:eastAsia="Times New Roman" w:hAnsiTheme="majorBidi" w:cstheme="majorBidi"/>
          <w:sz w:val="24"/>
          <w:szCs w:val="24"/>
          <w:bdr w:val="none" w:sz="0" w:space="0" w:color="auto" w:frame="1"/>
        </w:rPr>
        <w:t>,</w:t>
      </w:r>
      <w:hyperlink r:id="rId9" w:history="1">
        <w:r w:rsidR="001102E8" w:rsidRPr="00743ED6">
          <w:rPr>
            <w:rFonts w:asciiTheme="majorBidi" w:eastAsia="Times New Roman" w:hAnsiTheme="majorBidi" w:cstheme="majorBidi"/>
            <w:b/>
            <w:bCs/>
            <w:sz w:val="24"/>
            <w:szCs w:val="24"/>
            <w:bdr w:val="none" w:sz="0" w:space="0" w:color="auto" w:frame="1"/>
          </w:rPr>
          <w:t>Raeesa</w:t>
        </w:r>
        <w:proofErr w:type="spellEnd"/>
        <w:r w:rsidR="001102E8" w:rsidRPr="00743ED6">
          <w:rPr>
            <w:rFonts w:asciiTheme="majorBidi" w:eastAsia="Times New Roman" w:hAnsiTheme="majorBidi" w:cstheme="majorBidi"/>
            <w:b/>
            <w:bCs/>
            <w:sz w:val="24"/>
            <w:szCs w:val="24"/>
            <w:bdr w:val="none" w:sz="0" w:space="0" w:color="auto" w:frame="1"/>
          </w:rPr>
          <w:t xml:space="preserve"> </w:t>
        </w:r>
        <w:proofErr w:type="spellStart"/>
        <w:r w:rsidR="001102E8" w:rsidRPr="00743ED6">
          <w:rPr>
            <w:rFonts w:asciiTheme="majorBidi" w:eastAsia="Times New Roman" w:hAnsiTheme="majorBidi" w:cstheme="majorBidi"/>
            <w:b/>
            <w:bCs/>
            <w:sz w:val="24"/>
            <w:szCs w:val="24"/>
            <w:bdr w:val="none" w:sz="0" w:space="0" w:color="auto" w:frame="1"/>
          </w:rPr>
          <w:t>Mohamad</w:t>
        </w:r>
      </w:hyperlink>
      <w:r w:rsidR="001102E8" w:rsidRPr="00743ED6">
        <w:rPr>
          <w:rFonts w:asciiTheme="majorBidi" w:eastAsia="Times New Roman" w:hAnsiTheme="majorBidi" w:cstheme="majorBidi"/>
          <w:sz w:val="24"/>
          <w:szCs w:val="24"/>
          <w:bdr w:val="none" w:sz="0" w:space="0" w:color="auto" w:frame="1"/>
        </w:rPr>
        <w:t>,</w:t>
      </w:r>
      <w:hyperlink r:id="rId10" w:history="1">
        <w:r w:rsidR="001102E8" w:rsidRPr="00743ED6">
          <w:rPr>
            <w:rFonts w:asciiTheme="majorBidi" w:eastAsia="Times New Roman" w:hAnsiTheme="majorBidi" w:cstheme="majorBidi"/>
            <w:sz w:val="24"/>
            <w:szCs w:val="24"/>
            <w:bdr w:val="none" w:sz="0" w:space="0" w:color="auto" w:frame="1"/>
          </w:rPr>
          <w:t>Maha</w:t>
        </w:r>
        <w:proofErr w:type="spellEnd"/>
        <w:r w:rsidR="001102E8" w:rsidRPr="00743ED6">
          <w:rPr>
            <w:rFonts w:asciiTheme="majorBidi" w:eastAsia="Times New Roman" w:hAnsiTheme="majorBidi" w:cstheme="majorBidi"/>
            <w:sz w:val="24"/>
            <w:szCs w:val="24"/>
            <w:bdr w:val="none" w:sz="0" w:space="0" w:color="auto" w:frame="1"/>
          </w:rPr>
          <w:t xml:space="preserve"> Al-Amin</w:t>
        </w:r>
      </w:hyperlink>
      <w:r w:rsidR="00743ED6">
        <w:rPr>
          <w:rFonts w:asciiTheme="majorBidi" w:eastAsia="Times New Roman" w:hAnsiTheme="majorBidi" w:cstheme="majorBidi"/>
          <w:sz w:val="24"/>
          <w:szCs w:val="24"/>
        </w:rPr>
        <w:t>.</w:t>
      </w:r>
    </w:p>
    <w:p w:rsidR="001102E8" w:rsidRDefault="001102E8" w:rsidP="00743ED6">
      <w:pPr>
        <w:shd w:val="clear" w:color="auto" w:fill="FFFFFF"/>
        <w:bidi w:val="0"/>
        <w:spacing w:after="0" w:line="360" w:lineRule="auto"/>
        <w:rPr>
          <w:rFonts w:asciiTheme="majorBidi" w:eastAsia="Times New Roman" w:hAnsiTheme="majorBidi" w:cstheme="majorBidi"/>
          <w:color w:val="767676"/>
          <w:sz w:val="24"/>
          <w:szCs w:val="24"/>
        </w:rPr>
      </w:pPr>
      <w:r w:rsidRPr="00743ED6">
        <w:rPr>
          <w:rFonts w:asciiTheme="majorBidi" w:eastAsia="Times New Roman" w:hAnsiTheme="majorBidi" w:cstheme="majorBidi"/>
          <w:b/>
          <w:bCs/>
          <w:sz w:val="24"/>
          <w:szCs w:val="24"/>
        </w:rPr>
        <w:t>First published: 08 May 2020</w:t>
      </w:r>
      <w:r w:rsidR="00743ED6">
        <w:rPr>
          <w:rFonts w:asciiTheme="majorBidi" w:eastAsia="Times New Roman" w:hAnsiTheme="majorBidi" w:cstheme="majorBidi"/>
          <w:b/>
          <w:bCs/>
          <w:sz w:val="24"/>
          <w:szCs w:val="24"/>
        </w:rPr>
        <w:t xml:space="preserve">. </w:t>
      </w:r>
      <w:hyperlink r:id="rId11" w:history="1">
        <w:r w:rsidRPr="001102E8">
          <w:rPr>
            <w:rFonts w:asciiTheme="majorBidi" w:eastAsia="Times New Roman" w:hAnsiTheme="majorBidi" w:cstheme="majorBidi"/>
            <w:b/>
            <w:bCs/>
            <w:color w:val="005274"/>
            <w:sz w:val="24"/>
            <w:szCs w:val="24"/>
          </w:rPr>
          <w:t>https://doi.org/10.1002/jbt.22519</w:t>
        </w:r>
      </w:hyperlink>
    </w:p>
    <w:p w:rsidR="001102E8" w:rsidRPr="00743ED6" w:rsidRDefault="001102E8" w:rsidP="001102E8">
      <w:pPr>
        <w:pStyle w:val="Heading3"/>
        <w:shd w:val="clear" w:color="auto" w:fill="FFFFFF"/>
        <w:bidi w:val="0"/>
        <w:spacing w:before="0" w:after="225" w:line="360" w:lineRule="auto"/>
        <w:rPr>
          <w:rFonts w:asciiTheme="majorBidi" w:hAnsiTheme="majorBidi"/>
          <w:color w:val="auto"/>
          <w:sz w:val="28"/>
          <w:szCs w:val="28"/>
        </w:rPr>
      </w:pPr>
      <w:r w:rsidRPr="00743ED6">
        <w:rPr>
          <w:rFonts w:asciiTheme="majorBidi" w:hAnsiTheme="majorBidi"/>
          <w:b/>
          <w:bCs/>
          <w:color w:val="auto"/>
          <w:sz w:val="28"/>
          <w:szCs w:val="28"/>
        </w:rPr>
        <w:t>Abstract</w:t>
      </w:r>
    </w:p>
    <w:p w:rsidR="001102E8" w:rsidRPr="001102E8" w:rsidRDefault="001102E8" w:rsidP="00743ED6">
      <w:pPr>
        <w:pStyle w:val="NormalWeb"/>
        <w:shd w:val="clear" w:color="auto" w:fill="FFFFFF"/>
        <w:spacing w:before="75" w:beforeAutospacing="0" w:after="240" w:afterAutospacing="0" w:line="276" w:lineRule="auto"/>
        <w:jc w:val="both"/>
        <w:rPr>
          <w:rFonts w:asciiTheme="majorBidi" w:hAnsiTheme="majorBidi" w:cstheme="majorBidi"/>
          <w:color w:val="1C1D1E"/>
        </w:rPr>
      </w:pPr>
      <w:r w:rsidRPr="001102E8">
        <w:rPr>
          <w:rFonts w:asciiTheme="majorBidi" w:hAnsiTheme="majorBidi" w:cstheme="majorBidi"/>
          <w:color w:val="1C1D1E"/>
        </w:rPr>
        <w:t>Insulin is important for brain function and neuronal survival. Insulin signaling is initiated by the phosphorylation of insulin receptor substrate-1 (IRS-1) at tyrosine (</w:t>
      </w:r>
      <w:proofErr w:type="spellStart"/>
      <w:r w:rsidRPr="001102E8">
        <w:rPr>
          <w:rFonts w:asciiTheme="majorBidi" w:hAnsiTheme="majorBidi" w:cstheme="majorBidi"/>
          <w:color w:val="1C1D1E"/>
        </w:rPr>
        <w:t>pTyr</w:t>
      </w:r>
      <w:proofErr w:type="spellEnd"/>
      <w:r w:rsidRPr="001102E8">
        <w:rPr>
          <w:rFonts w:asciiTheme="majorBidi" w:hAnsiTheme="majorBidi" w:cstheme="majorBidi"/>
          <w:color w:val="1C1D1E"/>
        </w:rPr>
        <w:t>) residue. However, IRS-1 is inhibited by phosphorylation at serine (</w:t>
      </w:r>
      <w:proofErr w:type="spellStart"/>
      <w:r w:rsidRPr="001102E8">
        <w:rPr>
          <w:rFonts w:asciiTheme="majorBidi" w:hAnsiTheme="majorBidi" w:cstheme="majorBidi"/>
          <w:color w:val="1C1D1E"/>
        </w:rPr>
        <w:t>pSer</w:t>
      </w:r>
      <w:proofErr w:type="spellEnd"/>
      <w:r w:rsidRPr="001102E8">
        <w:rPr>
          <w:rFonts w:asciiTheme="majorBidi" w:hAnsiTheme="majorBidi" w:cstheme="majorBidi"/>
          <w:color w:val="1C1D1E"/>
        </w:rPr>
        <w:t xml:space="preserve">). In Alzheimer's disease (AD), oxidative stress and accumulation of amyloid beta (Aβ) induce </w:t>
      </w:r>
      <w:proofErr w:type="spellStart"/>
      <w:r w:rsidRPr="001102E8">
        <w:rPr>
          <w:rFonts w:asciiTheme="majorBidi" w:hAnsiTheme="majorBidi" w:cstheme="majorBidi"/>
          <w:color w:val="1C1D1E"/>
        </w:rPr>
        <w:t>neuroinflammation</w:t>
      </w:r>
      <w:proofErr w:type="spellEnd"/>
      <w:r w:rsidRPr="001102E8">
        <w:rPr>
          <w:rFonts w:asciiTheme="majorBidi" w:hAnsiTheme="majorBidi" w:cstheme="majorBidi"/>
          <w:color w:val="1C1D1E"/>
        </w:rPr>
        <w:t xml:space="preserve">, which augments pSer-IRS-1 and reduces pTyr-IRS-1 disturbing insulin signaling pathway. Coenzyme Q10 (CoQ10) and biotin possess antioxidant and anti-inflammatory properties, and, in this study, their impact on insulin signaling is investigated in an </w:t>
      </w:r>
      <w:proofErr w:type="spellStart"/>
      <w:r w:rsidRPr="001102E8">
        <w:rPr>
          <w:rFonts w:asciiTheme="majorBidi" w:hAnsiTheme="majorBidi" w:cstheme="majorBidi"/>
          <w:color w:val="1C1D1E"/>
        </w:rPr>
        <w:t>aluminium</w:t>
      </w:r>
      <w:proofErr w:type="spellEnd"/>
      <w:r w:rsidRPr="001102E8">
        <w:rPr>
          <w:rFonts w:asciiTheme="majorBidi" w:hAnsiTheme="majorBidi" w:cstheme="majorBidi"/>
          <w:color w:val="1C1D1E"/>
        </w:rPr>
        <w:t xml:space="preserve"> chloride (AlCl</w:t>
      </w:r>
      <w:r w:rsidRPr="001102E8">
        <w:rPr>
          <w:rFonts w:asciiTheme="majorBidi" w:hAnsiTheme="majorBidi" w:cstheme="majorBidi"/>
          <w:color w:val="1C1D1E"/>
          <w:vertAlign w:val="subscript"/>
        </w:rPr>
        <w:t>3</w:t>
      </w:r>
      <w:r w:rsidRPr="001102E8">
        <w:rPr>
          <w:rFonts w:asciiTheme="majorBidi" w:hAnsiTheme="majorBidi" w:cstheme="majorBidi"/>
          <w:color w:val="1C1D1E"/>
        </w:rPr>
        <w:t>) model of AD. AD was induced by oral administration of AlCl</w:t>
      </w:r>
      <w:r w:rsidRPr="001102E8">
        <w:rPr>
          <w:rFonts w:asciiTheme="majorBidi" w:hAnsiTheme="majorBidi" w:cstheme="majorBidi"/>
          <w:color w:val="1C1D1E"/>
          <w:vertAlign w:val="subscript"/>
        </w:rPr>
        <w:t>3</w:t>
      </w:r>
      <w:r w:rsidRPr="001102E8">
        <w:rPr>
          <w:rFonts w:asciiTheme="majorBidi" w:hAnsiTheme="majorBidi" w:cstheme="majorBidi"/>
          <w:color w:val="1C1D1E"/>
        </w:rPr>
        <w:t> (75 mg/kg) for 60 days. Biotin (2 mg/kg), CoQ10 (10 mg/kg), and their combination were supplemented concomitantly with AlCl</w:t>
      </w:r>
      <w:r w:rsidRPr="001102E8">
        <w:rPr>
          <w:rFonts w:asciiTheme="majorBidi" w:hAnsiTheme="majorBidi" w:cstheme="majorBidi"/>
          <w:color w:val="1C1D1E"/>
          <w:vertAlign w:val="subscript"/>
        </w:rPr>
        <w:t>3</w:t>
      </w:r>
      <w:r w:rsidRPr="001102E8">
        <w:rPr>
          <w:rFonts w:asciiTheme="majorBidi" w:hAnsiTheme="majorBidi" w:cstheme="majorBidi"/>
          <w:color w:val="1C1D1E"/>
        </w:rPr>
        <w:t xml:space="preserve"> for 60 days. Memory test and histological examination were performed. Brain levels of lipid peroxides, antioxidants (reduced glutathione and superoxide dismutase), inflammatory markers (tumor necrosis factor-α, interleukin-6 [IL-6], IL-1, and nuclear factor </w:t>
      </w:r>
      <w:proofErr w:type="spellStart"/>
      <w:r w:rsidRPr="001102E8">
        <w:rPr>
          <w:rFonts w:asciiTheme="majorBidi" w:hAnsiTheme="majorBidi" w:cstheme="majorBidi"/>
          <w:color w:val="1C1D1E"/>
        </w:rPr>
        <w:t>κB</w:t>
      </w:r>
      <w:proofErr w:type="spellEnd"/>
      <w:r w:rsidRPr="001102E8">
        <w:rPr>
          <w:rFonts w:asciiTheme="majorBidi" w:hAnsiTheme="majorBidi" w:cstheme="majorBidi"/>
          <w:color w:val="1C1D1E"/>
        </w:rPr>
        <w:t xml:space="preserve">), and phosphorylated </w:t>
      </w:r>
      <w:proofErr w:type="spellStart"/>
      <w:r w:rsidRPr="001102E8">
        <w:rPr>
          <w:rFonts w:asciiTheme="majorBidi" w:hAnsiTheme="majorBidi" w:cstheme="majorBidi"/>
          <w:color w:val="1C1D1E"/>
        </w:rPr>
        <w:t>Akt</w:t>
      </w:r>
      <w:proofErr w:type="spellEnd"/>
      <w:r w:rsidRPr="001102E8">
        <w:rPr>
          <w:rFonts w:asciiTheme="majorBidi" w:hAnsiTheme="majorBidi" w:cstheme="majorBidi"/>
          <w:color w:val="1C1D1E"/>
        </w:rPr>
        <w:t xml:space="preserve"> (survival kinase) as well as protein levels of Aβ, IRS-1 (</w:t>
      </w:r>
      <w:proofErr w:type="spellStart"/>
      <w:r w:rsidRPr="001102E8">
        <w:rPr>
          <w:rFonts w:asciiTheme="majorBidi" w:hAnsiTheme="majorBidi" w:cstheme="majorBidi"/>
          <w:color w:val="1C1D1E"/>
        </w:rPr>
        <w:t>pTyr</w:t>
      </w:r>
      <w:proofErr w:type="spellEnd"/>
      <w:r w:rsidRPr="001102E8">
        <w:rPr>
          <w:rFonts w:asciiTheme="majorBidi" w:hAnsiTheme="majorBidi" w:cstheme="majorBidi"/>
          <w:color w:val="1C1D1E"/>
        </w:rPr>
        <w:t xml:space="preserve"> and </w:t>
      </w:r>
      <w:proofErr w:type="spellStart"/>
      <w:r w:rsidRPr="001102E8">
        <w:rPr>
          <w:rFonts w:asciiTheme="majorBidi" w:hAnsiTheme="majorBidi" w:cstheme="majorBidi"/>
          <w:color w:val="1C1D1E"/>
        </w:rPr>
        <w:t>pSer</w:t>
      </w:r>
      <w:proofErr w:type="spellEnd"/>
      <w:r w:rsidRPr="001102E8">
        <w:rPr>
          <w:rFonts w:asciiTheme="majorBidi" w:hAnsiTheme="majorBidi" w:cstheme="majorBidi"/>
          <w:color w:val="1C1D1E"/>
        </w:rPr>
        <w:t>), and caspase-3 (apoptotic marker) were determined. AlCl</w:t>
      </w:r>
      <w:r w:rsidRPr="001102E8">
        <w:rPr>
          <w:rFonts w:asciiTheme="majorBidi" w:hAnsiTheme="majorBidi" w:cstheme="majorBidi"/>
          <w:color w:val="1C1D1E"/>
          <w:vertAlign w:val="subscript"/>
        </w:rPr>
        <w:t>3</w:t>
      </w:r>
      <w:r w:rsidRPr="001102E8">
        <w:rPr>
          <w:rFonts w:asciiTheme="majorBidi" w:hAnsiTheme="majorBidi" w:cstheme="majorBidi"/>
          <w:color w:val="1C1D1E"/>
        </w:rPr>
        <w:t> resulted in impaired memory, significant increase in Aβ, lipid peroxides, inflammatory markers, caspase-3, and pSer-IRS-1, with significant reduction of the antioxidants, pTyr-IRS-1, and p-</w:t>
      </w:r>
      <w:proofErr w:type="spellStart"/>
      <w:r w:rsidRPr="001102E8">
        <w:rPr>
          <w:rFonts w:asciiTheme="majorBidi" w:hAnsiTheme="majorBidi" w:cstheme="majorBidi"/>
          <w:color w:val="1C1D1E"/>
        </w:rPr>
        <w:t>Akt</w:t>
      </w:r>
      <w:proofErr w:type="spellEnd"/>
      <w:r w:rsidRPr="001102E8">
        <w:rPr>
          <w:rFonts w:asciiTheme="majorBidi" w:hAnsiTheme="majorBidi" w:cstheme="majorBidi"/>
          <w:color w:val="1C1D1E"/>
        </w:rPr>
        <w:t xml:space="preserve"> reflecting Aβ-induced inflammation and defective insulin signaling. Histological examination revealed focal aggregations of inflammatory cells and neuronal degeneration. The biochemical deviations and histological changes were attenuated by the concomitant treatment with biotin and, to greater extent, with CoQ10 and the combination. In conclusion, biotin and CoQ10 could protect against AD via attenuating inflammatory response and enhancing insulin signaling.</w:t>
      </w:r>
    </w:p>
    <w:p w:rsidR="001102E8" w:rsidRPr="001102E8" w:rsidRDefault="001102E8" w:rsidP="001102E8">
      <w:pPr>
        <w:bidi w:val="0"/>
        <w:spacing w:line="360" w:lineRule="auto"/>
        <w:rPr>
          <w:rFonts w:asciiTheme="majorBidi" w:hAnsiTheme="majorBidi" w:cstheme="majorBidi"/>
          <w:sz w:val="24"/>
          <w:szCs w:val="24"/>
        </w:rPr>
      </w:pPr>
    </w:p>
    <w:sectPr w:rsidR="001102E8" w:rsidRPr="001102E8" w:rsidSect="004A7E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0B"/>
    <w:rsid w:val="001102E8"/>
    <w:rsid w:val="001A0E0B"/>
    <w:rsid w:val="004A7E16"/>
    <w:rsid w:val="004C72D2"/>
    <w:rsid w:val="00743ED6"/>
    <w:rsid w:val="009E4B61"/>
    <w:rsid w:val="00A16AE8"/>
    <w:rsid w:val="00F35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F6DA0-A498-4E0B-924A-0A4FF56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D2"/>
    <w:pPr>
      <w:bidi/>
      <w:spacing w:after="200" w:line="276" w:lineRule="auto"/>
    </w:pPr>
    <w:rPr>
      <w:sz w:val="22"/>
      <w:szCs w:val="22"/>
    </w:rPr>
  </w:style>
  <w:style w:type="paragraph" w:styleId="Heading1">
    <w:name w:val="heading 1"/>
    <w:basedOn w:val="Normal"/>
    <w:link w:val="Heading1Char"/>
    <w:uiPriority w:val="9"/>
    <w:qFormat/>
    <w:rsid w:val="001102E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102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D2"/>
    <w:pPr>
      <w:ind w:left="720"/>
      <w:contextualSpacing/>
    </w:pPr>
  </w:style>
  <w:style w:type="character" w:customStyle="1" w:styleId="Heading1Char">
    <w:name w:val="Heading 1 Char"/>
    <w:basedOn w:val="DefaultParagraphFont"/>
    <w:link w:val="Heading1"/>
    <w:uiPriority w:val="9"/>
    <w:rsid w:val="001102E8"/>
    <w:rPr>
      <w:rFonts w:ascii="Times New Roman" w:eastAsia="Times New Roman" w:hAnsi="Times New Roman" w:cs="Times New Roman"/>
      <w:b/>
      <w:bCs/>
      <w:kern w:val="36"/>
      <w:sz w:val="48"/>
      <w:szCs w:val="48"/>
    </w:rPr>
  </w:style>
  <w:style w:type="character" w:customStyle="1" w:styleId="accordion-tabbedtab-mobile">
    <w:name w:val="accordion-tabbed__tab-mobile"/>
    <w:basedOn w:val="DefaultParagraphFont"/>
    <w:rsid w:val="001102E8"/>
  </w:style>
  <w:style w:type="character" w:styleId="Hyperlink">
    <w:name w:val="Hyperlink"/>
    <w:basedOn w:val="DefaultParagraphFont"/>
    <w:uiPriority w:val="99"/>
    <w:semiHidden/>
    <w:unhideWhenUsed/>
    <w:rsid w:val="001102E8"/>
    <w:rPr>
      <w:color w:val="0000FF"/>
      <w:u w:val="single"/>
    </w:rPr>
  </w:style>
  <w:style w:type="character" w:customStyle="1" w:styleId="comma-separator">
    <w:name w:val="comma-separator"/>
    <w:basedOn w:val="DefaultParagraphFont"/>
    <w:rsid w:val="001102E8"/>
  </w:style>
  <w:style w:type="character" w:customStyle="1" w:styleId="epub-state">
    <w:name w:val="epub-state"/>
    <w:basedOn w:val="DefaultParagraphFont"/>
    <w:rsid w:val="001102E8"/>
  </w:style>
  <w:style w:type="character" w:customStyle="1" w:styleId="epub-date">
    <w:name w:val="epub-date"/>
    <w:basedOn w:val="DefaultParagraphFont"/>
    <w:rsid w:val="001102E8"/>
  </w:style>
  <w:style w:type="character" w:customStyle="1" w:styleId="Heading3Char">
    <w:name w:val="Heading 3 Char"/>
    <w:basedOn w:val="DefaultParagraphFont"/>
    <w:link w:val="Heading3"/>
    <w:uiPriority w:val="9"/>
    <w:semiHidden/>
    <w:rsid w:val="001102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102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0440">
      <w:bodyDiv w:val="1"/>
      <w:marLeft w:val="0"/>
      <w:marRight w:val="0"/>
      <w:marTop w:val="0"/>
      <w:marBottom w:val="0"/>
      <w:divBdr>
        <w:top w:val="none" w:sz="0" w:space="0" w:color="auto"/>
        <w:left w:val="none" w:sz="0" w:space="0" w:color="auto"/>
        <w:bottom w:val="none" w:sz="0" w:space="0" w:color="auto"/>
        <w:right w:val="none" w:sz="0" w:space="0" w:color="auto"/>
      </w:divBdr>
      <w:divsChild>
        <w:div w:id="180828356">
          <w:marLeft w:val="0"/>
          <w:marRight w:val="0"/>
          <w:marTop w:val="225"/>
          <w:marBottom w:val="225"/>
          <w:divBdr>
            <w:top w:val="none" w:sz="0" w:space="0" w:color="auto"/>
            <w:left w:val="none" w:sz="0" w:space="0" w:color="auto"/>
            <w:bottom w:val="none" w:sz="0" w:space="0" w:color="auto"/>
            <w:right w:val="none" w:sz="0" w:space="0" w:color="auto"/>
          </w:divBdr>
          <w:divsChild>
            <w:div w:id="1426918164">
              <w:marLeft w:val="0"/>
              <w:marRight w:val="0"/>
              <w:marTop w:val="0"/>
              <w:marBottom w:val="0"/>
              <w:divBdr>
                <w:top w:val="none" w:sz="0" w:space="0" w:color="auto"/>
                <w:left w:val="none" w:sz="0" w:space="0" w:color="auto"/>
                <w:bottom w:val="none" w:sz="0" w:space="0" w:color="auto"/>
                <w:right w:val="none" w:sz="0" w:space="0" w:color="auto"/>
              </w:divBdr>
              <w:divsChild>
                <w:div w:id="955406257">
                  <w:marLeft w:val="0"/>
                  <w:marRight w:val="0"/>
                  <w:marTop w:val="0"/>
                  <w:marBottom w:val="0"/>
                  <w:divBdr>
                    <w:top w:val="none" w:sz="0" w:space="0" w:color="auto"/>
                    <w:left w:val="none" w:sz="0" w:space="0" w:color="auto"/>
                    <w:bottom w:val="none" w:sz="0" w:space="0" w:color="auto"/>
                    <w:right w:val="none" w:sz="0" w:space="0" w:color="auto"/>
                  </w:divBdr>
                  <w:divsChild>
                    <w:div w:id="2001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5009">
          <w:marLeft w:val="0"/>
          <w:marRight w:val="0"/>
          <w:marTop w:val="225"/>
          <w:marBottom w:val="225"/>
          <w:divBdr>
            <w:top w:val="none" w:sz="0" w:space="0" w:color="auto"/>
            <w:left w:val="none" w:sz="0" w:space="0" w:color="auto"/>
            <w:bottom w:val="none" w:sz="0" w:space="0" w:color="auto"/>
            <w:right w:val="none" w:sz="0" w:space="0" w:color="auto"/>
          </w:divBdr>
          <w:divsChild>
            <w:div w:id="1639802772">
              <w:marLeft w:val="0"/>
              <w:marRight w:val="0"/>
              <w:marTop w:val="0"/>
              <w:marBottom w:val="0"/>
              <w:divBdr>
                <w:top w:val="none" w:sz="0" w:space="0" w:color="auto"/>
                <w:left w:val="none" w:sz="0" w:space="0" w:color="auto"/>
                <w:bottom w:val="none" w:sz="0" w:space="0" w:color="auto"/>
                <w:right w:val="none" w:sz="0" w:space="0" w:color="auto"/>
              </w:divBdr>
            </w:div>
            <w:div w:id="1048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7920">
      <w:bodyDiv w:val="1"/>
      <w:marLeft w:val="0"/>
      <w:marRight w:val="0"/>
      <w:marTop w:val="0"/>
      <w:marBottom w:val="0"/>
      <w:divBdr>
        <w:top w:val="none" w:sz="0" w:space="0" w:color="auto"/>
        <w:left w:val="none" w:sz="0" w:space="0" w:color="auto"/>
        <w:bottom w:val="none" w:sz="0" w:space="0" w:color="auto"/>
        <w:right w:val="none" w:sz="0" w:space="0" w:color="auto"/>
      </w:divBdr>
      <w:divsChild>
        <w:div w:id="87550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Raw=Yacoub%2C+Haz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linelibrary.wiley.com/action/doSearch?ContribAuthorRaw=Alotaibi%2C+Amira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action/doSearch?ContribAuthorRaw=Alaraidh%2C+Sadeem" TargetMode="External"/><Relationship Id="rId11" Type="http://schemas.openxmlformats.org/officeDocument/2006/relationships/hyperlink" Target="https://doi.org/10.1002/jbt.22519" TargetMode="External"/><Relationship Id="rId5" Type="http://schemas.openxmlformats.org/officeDocument/2006/relationships/hyperlink" Target="https://onlinelibrary.wiley.com/action/doSearch?ContribAuthorRaw=Albuhayri%2C+Shaykhah" TargetMode="External"/><Relationship Id="rId10" Type="http://schemas.openxmlformats.org/officeDocument/2006/relationships/hyperlink" Target="https://onlinelibrary.wiley.com/action/doSearch?ContribAuthorRaw=Al-Amin%2C+Maha" TargetMode="External"/><Relationship Id="rId4" Type="http://schemas.openxmlformats.org/officeDocument/2006/relationships/hyperlink" Target="https://onlinelibrary.wiley.com/action/doSearch?ContribAuthorRaw=Attia%2C+Hala" TargetMode="External"/><Relationship Id="rId9" Type="http://schemas.openxmlformats.org/officeDocument/2006/relationships/hyperlink" Target="https://onlinelibrary.wiley.com/action/doSearch?ContribAuthorRaw=Mohamad%2C+Raee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9825</Characters>
  <Application>Microsoft Office Word</Application>
  <DocSecurity>0</DocSecurity>
  <Lines>81</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HEAVEN KILLERS RELEASE GROUP</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Raeissa Elboraei</dc:creator>
  <cp:keywords/>
  <dc:description/>
  <cp:lastModifiedBy>Sameerah Shaheen</cp:lastModifiedBy>
  <cp:revision>2</cp:revision>
  <dcterms:created xsi:type="dcterms:W3CDTF">2021-11-23T07:52:00Z</dcterms:created>
  <dcterms:modified xsi:type="dcterms:W3CDTF">2021-11-23T07:52:00Z</dcterms:modified>
</cp:coreProperties>
</file>